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00" w:lineRule="auto"/>
        <w:jc w:val="center"/>
        <w:rPr>
          <w:rFonts w:ascii="仿宋_GB2312" w:hAnsi="宋体" w:cs="宋体"/>
          <w:bCs/>
          <w:color w:val="000000"/>
          <w:kern w:val="0"/>
        </w:rPr>
      </w:pPr>
      <w:r>
        <w:rPr>
          <w:rFonts w:hint="eastAsia" w:ascii="方正小标宋简体" w:eastAsia="方正小标宋简体"/>
          <w:sz w:val="44"/>
        </w:rPr>
        <w:t xml:space="preserve"> </w:t>
      </w:r>
      <w:r>
        <w:rPr>
          <w:rFonts w:hint="eastAsia" w:ascii="仿宋_GB2312" w:eastAsia="仿宋_GB2312"/>
          <w:sz w:val="32"/>
          <w:szCs w:val="32"/>
        </w:rPr>
        <w:t xml:space="preserve">   </w:t>
      </w:r>
    </w:p>
    <w:p>
      <w:pPr>
        <w:widowControl/>
        <w:adjustRightInd w:val="0"/>
        <w:snapToGrid w:val="0"/>
        <w:spacing w:line="300" w:lineRule="auto"/>
        <w:jc w:val="center"/>
        <w:rPr>
          <w:rFonts w:ascii="仿宋_GB2312" w:hAnsi="宋体" w:cs="宋体"/>
          <w:bCs/>
          <w:color w:val="000000"/>
          <w:kern w:val="0"/>
        </w:rPr>
      </w:pPr>
    </w:p>
    <w:p>
      <w:pPr>
        <w:widowControl/>
        <w:adjustRightInd w:val="0"/>
        <w:snapToGrid w:val="0"/>
        <w:spacing w:line="300" w:lineRule="auto"/>
        <w:jc w:val="center"/>
        <w:rPr>
          <w:rFonts w:ascii="仿宋_GB2312" w:hAnsi="宋体" w:cs="宋体"/>
          <w:bCs/>
          <w:color w:val="000000"/>
          <w:kern w:val="0"/>
        </w:rPr>
      </w:pPr>
    </w:p>
    <w:p>
      <w:pPr>
        <w:widowControl/>
        <w:adjustRightInd w:val="0"/>
        <w:snapToGrid w:val="0"/>
        <w:spacing w:line="300" w:lineRule="auto"/>
        <w:jc w:val="center"/>
        <w:rPr>
          <w:rFonts w:ascii="仿宋_GB2312" w:hAnsi="宋体" w:cs="宋体"/>
          <w:bCs/>
          <w:color w:val="000000"/>
          <w:kern w:val="0"/>
          <w:sz w:val="22"/>
        </w:rPr>
      </w:pPr>
    </w:p>
    <w:p>
      <w:pPr>
        <w:widowControl/>
        <w:adjustRightInd w:val="0"/>
        <w:snapToGrid w:val="0"/>
        <w:spacing w:line="300" w:lineRule="auto"/>
        <w:rPr>
          <w:rFonts w:ascii="仿宋_GB2312" w:hAnsi="宋体" w:cs="宋体"/>
          <w:bCs/>
          <w:color w:val="000000"/>
          <w:kern w:val="0"/>
          <w:sz w:val="20"/>
        </w:rPr>
      </w:pPr>
    </w:p>
    <w:p>
      <w:pPr>
        <w:widowControl/>
        <w:adjustRightInd w:val="0"/>
        <w:snapToGrid w:val="0"/>
        <w:spacing w:line="300" w:lineRule="auto"/>
        <w:rPr>
          <w:rFonts w:ascii="仿宋_GB2312" w:hAnsi="宋体" w:cs="宋体"/>
          <w:bCs/>
          <w:color w:val="000000"/>
          <w:kern w:val="0"/>
          <w:sz w:val="48"/>
          <w:szCs w:val="36"/>
        </w:rPr>
      </w:pPr>
    </w:p>
    <w:p>
      <w:pPr>
        <w:widowControl/>
        <w:adjustRightInd w:val="0"/>
        <w:snapToGrid w:val="0"/>
        <w:spacing w:line="300" w:lineRule="auto"/>
        <w:rPr>
          <w:rFonts w:ascii="仿宋_GB2312" w:hAnsi="宋体" w:cs="宋体"/>
          <w:bCs/>
          <w:color w:val="000000"/>
          <w:kern w:val="0"/>
          <w:sz w:val="28"/>
          <w:szCs w:val="36"/>
        </w:rPr>
      </w:pPr>
    </w:p>
    <w:p>
      <w:pPr>
        <w:widowControl/>
        <w:adjustRightInd w:val="0"/>
        <w:snapToGrid w:val="0"/>
        <w:spacing w:line="300" w:lineRule="auto"/>
        <w:rPr>
          <w:rFonts w:ascii="仿宋_GB2312" w:hAnsi="宋体" w:cs="宋体"/>
          <w:bCs/>
          <w:color w:val="000000"/>
          <w:kern w:val="0"/>
          <w:sz w:val="44"/>
          <w:szCs w:val="36"/>
        </w:rPr>
      </w:pPr>
    </w:p>
    <w:p>
      <w:pPr>
        <w:widowControl/>
        <w:adjustRightInd w:val="0"/>
        <w:snapToGrid w:val="0"/>
        <w:spacing w:line="120" w:lineRule="auto"/>
        <w:jc w:val="center"/>
        <w:rPr>
          <w:rFonts w:ascii="仿宋_GB2312" w:hAnsi="宋体" w:cs="宋体"/>
          <w:bCs/>
          <w:color w:val="000000"/>
          <w:kern w:val="0"/>
          <w:sz w:val="36"/>
          <w:szCs w:val="36"/>
        </w:rPr>
      </w:pPr>
    </w:p>
    <w:p>
      <w:pPr>
        <w:widowControl/>
        <w:adjustRightInd w:val="0"/>
        <w:snapToGrid w:val="0"/>
        <w:jc w:val="center"/>
        <w:rPr>
          <w:rFonts w:ascii="Times New Roman" w:hAnsi="Times New Roman" w:eastAsia="仿宋_GB2312" w:cs="Times New Roman"/>
          <w:bCs/>
          <w:color w:val="000000"/>
          <w:kern w:val="0"/>
        </w:rPr>
      </w:pPr>
      <w:r>
        <w:rPr>
          <w:rFonts w:ascii="Times New Roman" w:hAnsi="Times New Roman" w:eastAsia="仿宋_GB2312" w:cs="Times New Roman"/>
          <w:bCs/>
          <w:color w:val="000000"/>
          <w:kern w:val="0"/>
          <w:sz w:val="32"/>
          <w:szCs w:val="32"/>
        </w:rPr>
        <w:t>连住房发〔2019〕2号</w:t>
      </w:r>
    </w:p>
    <w:p>
      <w:pPr>
        <w:widowControl/>
        <w:adjustRightInd w:val="0"/>
        <w:snapToGrid w:val="0"/>
        <w:rPr>
          <w:rFonts w:ascii="Times New Roman" w:hAnsi="Times New Roman" w:eastAsia="仿宋_GB2312" w:cs="Times New Roman"/>
          <w:bCs/>
          <w:color w:val="000000"/>
          <w:kern w:val="0"/>
          <w:sz w:val="32"/>
        </w:rPr>
      </w:pPr>
    </w:p>
    <w:p>
      <w:pPr>
        <w:pStyle w:val="2"/>
        <w:widowControl/>
        <w:adjustRightInd w:val="0"/>
        <w:snapToGrid w:val="0"/>
        <w:spacing w:before="0" w:line="240" w:lineRule="auto"/>
        <w:rPr>
          <w:rFonts w:ascii="方正小标宋简体" w:hAnsi="Times New Roman" w:eastAsia="方正小标宋简体"/>
          <w:color w:val="333333"/>
          <w:sz w:val="32"/>
          <w:szCs w:val="32"/>
        </w:rPr>
      </w:pPr>
      <w:r>
        <w:rPr>
          <w:rFonts w:ascii="方正小标宋简体" w:hAnsi="Times New Roman" w:eastAsia="方正小标宋简体"/>
          <w:b w:val="0"/>
          <w:sz w:val="44"/>
          <w:szCs w:val="44"/>
          <w:shd w:val="clear" w:color="auto" w:fill="FFFFFF"/>
        </w:rPr>
        <w:t>市住房局关于公布连云港市物业服务企业信用评价结果有关事项的通知</w:t>
      </w:r>
    </w:p>
    <w:p>
      <w:pPr>
        <w:snapToGrid w:val="0"/>
        <w:rPr>
          <w:rFonts w:ascii="Times New Roman" w:hAnsi="Times New Roman" w:eastAsia="仿宋_GB2312" w:cs="Times New Roman"/>
          <w:color w:val="333333"/>
          <w:sz w:val="22"/>
          <w:szCs w:val="32"/>
        </w:rPr>
      </w:pPr>
    </w:p>
    <w:p>
      <w:pPr>
        <w:adjustRightInd w:val="0"/>
        <w:snapToGrid w:val="0"/>
        <w:spacing w:line="264" w:lineRule="auto"/>
        <w:rPr>
          <w:rFonts w:ascii="Times New Roman" w:hAnsi="Times New Roman" w:eastAsia="仿宋_GB2312" w:cs="Times New Roman"/>
          <w:sz w:val="32"/>
          <w:szCs w:val="32"/>
        </w:rPr>
      </w:pPr>
      <w:r>
        <w:rPr>
          <w:rFonts w:hint="eastAsia" w:ascii="Times New Roman" w:hAnsi="Times New Roman" w:eastAsia="仿宋_GB2312" w:cs="Times New Roman"/>
          <w:color w:val="333333"/>
          <w:sz w:val="32"/>
          <w:szCs w:val="32"/>
        </w:rPr>
        <w:t>各县区住建（规建）局、东海县房产局</w:t>
      </w:r>
      <w:r>
        <w:rPr>
          <w:rFonts w:ascii="Times New Roman" w:hAnsi="Times New Roman" w:eastAsia="仿宋_GB2312" w:cs="Times New Roman"/>
          <w:color w:val="333333"/>
          <w:sz w:val="32"/>
          <w:szCs w:val="32"/>
        </w:rPr>
        <w:t>，各物业服务企业：</w:t>
      </w:r>
    </w:p>
    <w:p>
      <w:pPr>
        <w:adjustRightInd w:val="0"/>
        <w:snapToGrid w:val="0"/>
        <w:spacing w:line="264" w:lineRule="auto"/>
        <w:ind w:firstLine="616" w:firstLineChars="200"/>
        <w:rPr>
          <w:rFonts w:ascii="Times New Roman" w:hAnsi="Times New Roman" w:eastAsia="仿宋_GB2312" w:cs="Times New Roman"/>
          <w:snapToGrid w:val="0"/>
          <w:spacing w:val="-6"/>
          <w:kern w:val="0"/>
          <w:sz w:val="32"/>
          <w:szCs w:val="32"/>
        </w:rPr>
      </w:pPr>
      <w:r>
        <w:rPr>
          <w:rFonts w:ascii="Times New Roman" w:hAnsi="Times New Roman" w:eastAsia="仿宋_GB2312" w:cs="Times New Roman"/>
          <w:snapToGrid w:val="0"/>
          <w:spacing w:val="-6"/>
          <w:kern w:val="0"/>
          <w:sz w:val="32"/>
          <w:szCs w:val="32"/>
        </w:rPr>
        <w:t>为进一步推进全市物业服务市场信用体系建设，建立健全物业行业“诚信激励、失信惩戒”机制，根据《连云港市物业服务企业信用评价管理办法（试行）》(连住房规发〔2018〕2 号)要求，市住房局组织开展了物业服务企业信用评价工作。经企业自评申报，各县区物业主管部门初审，市住房局终审，现将评价结果予以公示。自此次公示后，各物业服务企业信用评价将实行动态考评，在连云港智慧物业网（网址：http://www.lygwygl.com）实时公示。</w:t>
      </w:r>
    </w:p>
    <w:p>
      <w:pPr>
        <w:adjustRightInd w:val="0"/>
        <w:snapToGrid w:val="0"/>
        <w:spacing w:line="264"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各物业服务企业应严格依法依规，诚信履约，不断提升全市物业服务质量和水平。</w:t>
      </w:r>
    </w:p>
    <w:p>
      <w:pPr>
        <w:adjustRightInd w:val="0"/>
        <w:snapToGrid w:val="0"/>
        <w:ind w:firstLine="640" w:firstLineChars="200"/>
        <w:rPr>
          <w:rFonts w:hint="eastAsia" w:ascii="Times New Roman" w:hAnsi="Times New Roman" w:eastAsia="仿宋_GB2312" w:cs="Times New Roman"/>
          <w:sz w:val="32"/>
          <w:szCs w:val="32"/>
        </w:rPr>
      </w:pPr>
    </w:p>
    <w:p>
      <w:pPr>
        <w:adjustRightInd w:val="0"/>
        <w:snapToGri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附件：连云港市物业服务企业信用评价结果</w:t>
      </w:r>
    </w:p>
    <w:p>
      <w:pPr>
        <w:adjustRightInd w:val="0"/>
        <w:snapToGrid w:val="0"/>
        <w:ind w:firstLine="640" w:firstLineChars="200"/>
        <w:rPr>
          <w:rFonts w:hint="eastAsia" w:ascii="Times New Roman" w:hAnsi="Times New Roman" w:eastAsia="仿宋_GB2312" w:cs="Times New Roman"/>
          <w:sz w:val="48"/>
          <w:szCs w:val="32"/>
        </w:rPr>
      </w:pPr>
      <w:r>
        <w:rPr>
          <w:rFonts w:ascii="Times New Roman" w:hAnsi="Times New Roman" w:eastAsia="仿宋_GB2312" w:cs="Times New Roman"/>
          <w:sz w:val="32"/>
          <w:szCs w:val="32"/>
        </w:rPr>
        <w:t xml:space="preserve">                   </w:t>
      </w:r>
    </w:p>
    <w:p>
      <w:pPr>
        <w:adjustRightInd w:val="0"/>
        <w:snapToGrid w:val="0"/>
        <w:ind w:firstLine="3520" w:firstLineChars="1100"/>
        <w:rPr>
          <w:rFonts w:ascii="Times New Roman" w:hAnsi="Times New Roman" w:eastAsia="仿宋_GB2312" w:cs="Times New Roman"/>
          <w:sz w:val="32"/>
          <w:szCs w:val="32"/>
        </w:rPr>
      </w:pPr>
      <w:r>
        <w:rPr>
          <w:rFonts w:ascii="Times New Roman" w:hAnsi="Times New Roman" w:eastAsia="仿宋_GB2312" w:cs="Times New Roman"/>
          <w:sz w:val="32"/>
          <w:szCs w:val="32"/>
        </w:rPr>
        <w:t>连云港市住房保障和房产管理局</w:t>
      </w:r>
    </w:p>
    <w:p>
      <w:pPr>
        <w:adjustRightInd w:val="0"/>
        <w:snapToGrid w:val="0"/>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 xml:space="preserve">                        2019年1月3日</w:t>
      </w:r>
    </w:p>
    <w:p>
      <w:pPr>
        <w:rPr>
          <w:rFonts w:hint="eastAsia" w:ascii="黑体" w:hAnsi="黑体" w:eastAsia="黑体" w:cs="Times New Roman"/>
          <w:sz w:val="32"/>
          <w:szCs w:val="32"/>
        </w:rPr>
      </w:pPr>
      <w:r>
        <w:rPr>
          <w:rFonts w:ascii="黑体" w:hAnsi="黑体" w:eastAsia="黑体" w:cs="Times New Roman"/>
          <w:sz w:val="32"/>
          <w:szCs w:val="32"/>
        </w:rPr>
        <w:t>附件</w:t>
      </w:r>
    </w:p>
    <w:p>
      <w:pPr>
        <w:jc w:val="center"/>
        <w:rPr>
          <w:rFonts w:ascii="方正小标宋简体" w:hAnsi="Times New Roman" w:eastAsia="方正小标宋简体" w:cs="Times New Roman"/>
          <w:color w:val="000000"/>
          <w:kern w:val="0"/>
          <w:sz w:val="44"/>
          <w:szCs w:val="44"/>
          <w:shd w:val="clear" w:color="auto" w:fill="FFFFFF"/>
        </w:rPr>
      </w:pPr>
      <w:r>
        <w:rPr>
          <w:rFonts w:ascii="方正小标宋简体" w:hAnsi="Times New Roman" w:eastAsia="方正小标宋简体" w:cs="Times New Roman"/>
          <w:color w:val="000000"/>
          <w:kern w:val="0"/>
          <w:sz w:val="44"/>
          <w:szCs w:val="44"/>
          <w:shd w:val="clear" w:color="auto" w:fill="FFFFFF"/>
        </w:rPr>
        <w:t>连云港市物业服务企业信用综合评价结果</w:t>
      </w:r>
    </w:p>
    <w:tbl>
      <w:tblPr>
        <w:tblStyle w:val="11"/>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4725"/>
        <w:gridCol w:w="1575"/>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tcPr>
          <w:p>
            <w:pPr>
              <w:jc w:val="center"/>
              <w:rPr>
                <w:rFonts w:ascii="黑体" w:hAnsi="黑体" w:eastAsia="黑体" w:cs="Times New Roman"/>
                <w:sz w:val="28"/>
                <w:szCs w:val="28"/>
              </w:rPr>
            </w:pPr>
            <w:r>
              <w:rPr>
                <w:rFonts w:ascii="黑体" w:hAnsi="黑体" w:eastAsia="黑体" w:cs="Times New Roman"/>
                <w:sz w:val="28"/>
                <w:szCs w:val="28"/>
              </w:rPr>
              <w:t>序号</w:t>
            </w:r>
          </w:p>
        </w:tc>
        <w:tc>
          <w:tcPr>
            <w:tcW w:w="4725" w:type="dxa"/>
          </w:tcPr>
          <w:p>
            <w:pPr>
              <w:jc w:val="center"/>
              <w:rPr>
                <w:rFonts w:ascii="黑体" w:hAnsi="黑体" w:eastAsia="黑体" w:cs="Times New Roman"/>
                <w:sz w:val="28"/>
                <w:szCs w:val="28"/>
              </w:rPr>
            </w:pPr>
            <w:r>
              <w:rPr>
                <w:rFonts w:ascii="黑体" w:hAnsi="黑体" w:eastAsia="黑体" w:cs="Times New Roman"/>
                <w:sz w:val="28"/>
                <w:szCs w:val="28"/>
              </w:rPr>
              <w:t>企业名称</w:t>
            </w:r>
          </w:p>
        </w:tc>
        <w:tc>
          <w:tcPr>
            <w:tcW w:w="1575" w:type="dxa"/>
          </w:tcPr>
          <w:p>
            <w:pPr>
              <w:jc w:val="center"/>
              <w:rPr>
                <w:rFonts w:ascii="黑体" w:hAnsi="黑体" w:eastAsia="黑体" w:cs="Times New Roman"/>
                <w:sz w:val="28"/>
                <w:szCs w:val="28"/>
              </w:rPr>
            </w:pPr>
            <w:r>
              <w:rPr>
                <w:rFonts w:ascii="黑体" w:hAnsi="黑体" w:eastAsia="黑体" w:cs="Times New Roman"/>
                <w:sz w:val="28"/>
                <w:szCs w:val="28"/>
              </w:rPr>
              <w:t>诚信分值</w:t>
            </w:r>
          </w:p>
        </w:tc>
        <w:tc>
          <w:tcPr>
            <w:tcW w:w="1380" w:type="dxa"/>
          </w:tcPr>
          <w:p>
            <w:pPr>
              <w:jc w:val="center"/>
              <w:rPr>
                <w:rFonts w:ascii="黑体" w:hAnsi="黑体" w:eastAsia="黑体" w:cs="Times New Roman"/>
                <w:sz w:val="28"/>
                <w:szCs w:val="28"/>
              </w:rPr>
            </w:pPr>
            <w:r>
              <w:rPr>
                <w:rFonts w:ascii="黑体" w:hAnsi="黑体" w:eastAsia="黑体" w:cs="Times New Roman"/>
                <w:sz w:val="28"/>
                <w:szCs w:val="28"/>
              </w:rPr>
              <w:t>信用等级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连云港市杨辉物业管理有限责任公司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154</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2</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江苏金宇物业服务有限公司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153</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3</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连云港市苍梧物业管理有限公司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146</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4</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江苏迎宾物业管理有限公司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137</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5</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连云港永安物业服务有限公司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134</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6</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江苏鼎尊物业服务有限公司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133</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7</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南通天一物业管理咨询有限公司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130</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8</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连云港钰鑫物业服务有限公司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128</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9</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北京金辉锦江物业服务有限公司</w:t>
            </w:r>
          </w:p>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连云港分公司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127.5</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10</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江苏同工物业服务有限公司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124.5</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11</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连云港万润物业管理有限公司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124</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12</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连云港市恒诚物业服务有限公司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121.5</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13</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连云港市海韵物业管理有限公司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121.5</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14</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连云港赣榆亿鑫物业管理有限公司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120.5</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15</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连云港市美丰物业服务有限公司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120</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16</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连云港房政物业管理有限公司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120</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17</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连云港万厦物业服务有限公司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117.5</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18</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江苏环宇物业服务有限公司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116</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19</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连云港市万佳物业管理有限公司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115</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20</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连云港赣榆新城物业服务有限公司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113.5</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21</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连云港世宇物业服务有限公司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113</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22</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连云港市房缘物业管理有限公司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112.5</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23</w:t>
            </w:r>
          </w:p>
        </w:tc>
        <w:tc>
          <w:tcPr>
            <w:tcW w:w="4725" w:type="dxa"/>
            <w:vAlign w:val="center"/>
          </w:tcPr>
          <w:p>
            <w:pPr>
              <w:widowControl/>
              <w:adjustRightInd w:val="0"/>
              <w:snapToGrid w:val="0"/>
              <w:jc w:val="center"/>
              <w:rPr>
                <w:rFonts w:ascii="Times New Roman" w:hAnsi="Times New Roman" w:eastAsia="仿宋_GB2312" w:cs="Times New Roman"/>
                <w:color w:val="000000"/>
                <w:spacing w:val="-8"/>
                <w:kern w:val="0"/>
                <w:sz w:val="28"/>
                <w:szCs w:val="21"/>
                <w:lang w:bidi="ar"/>
              </w:rPr>
            </w:pPr>
            <w:r>
              <w:rPr>
                <w:rFonts w:ascii="Times New Roman" w:hAnsi="Times New Roman" w:eastAsia="仿宋_GB2312" w:cs="Times New Roman"/>
                <w:color w:val="000000"/>
                <w:spacing w:val="-8"/>
                <w:kern w:val="0"/>
                <w:sz w:val="28"/>
                <w:szCs w:val="21"/>
                <w:lang w:bidi="ar"/>
              </w:rPr>
              <w:t>连云港中大普惠香溢物业服务有限公司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112</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24</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江苏君怡物业管理有限公司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111.5</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25</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江苏淮海大地物业管理有限公司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111.5</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26</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连云港泉丰物业服务有限公司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110.5</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27</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江苏信和物业服务有限公司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110</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28</w:t>
            </w:r>
          </w:p>
        </w:tc>
        <w:tc>
          <w:tcPr>
            <w:tcW w:w="4725" w:type="dxa"/>
            <w:vAlign w:val="center"/>
          </w:tcPr>
          <w:p>
            <w:pPr>
              <w:widowControl/>
              <w:adjustRightInd w:val="0"/>
              <w:snapToGrid w:val="0"/>
              <w:jc w:val="center"/>
              <w:rPr>
                <w:rFonts w:ascii="Times New Roman" w:hAnsi="Times New Roman" w:eastAsia="仿宋_GB2312" w:cs="Times New Roman"/>
                <w:color w:val="000000"/>
                <w:spacing w:val="-8"/>
                <w:kern w:val="0"/>
                <w:sz w:val="28"/>
                <w:szCs w:val="21"/>
                <w:lang w:bidi="ar"/>
              </w:rPr>
            </w:pPr>
            <w:r>
              <w:rPr>
                <w:rFonts w:ascii="Times New Roman" w:hAnsi="Times New Roman" w:eastAsia="仿宋_GB2312" w:cs="Times New Roman"/>
                <w:color w:val="000000"/>
                <w:spacing w:val="-8"/>
                <w:kern w:val="0"/>
                <w:sz w:val="28"/>
                <w:szCs w:val="21"/>
                <w:lang w:bidi="ar"/>
              </w:rPr>
              <w:t>连云港赣榆美麟家和物业管理有限公司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110</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29</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连云港鑫港物业管理有限责任公司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109.5</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30</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连云港鹰飞物业管理有限公司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109</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31</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连云港市东宇物业服务有限公司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109</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32</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江苏美林家和物业管理有限公司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108.5</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33</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南京金鹰物业资产管理有限公司</w:t>
            </w:r>
          </w:p>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连云港分公司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108.5</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34</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江苏海立威物业服务有限公司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107</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35</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连云港金壹物业管理有限公司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107</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36</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灌云县东方物业服务有限公司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106.5</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37</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保利物业发展股份有限公司</w:t>
            </w:r>
          </w:p>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连云港分公司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106</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38</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连云港鸿嘉物业管理有限公司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106</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39</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连云港友善物业服务有限公司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105.5</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40</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连云港恒景物业服务有限公司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103.5</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41</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连云港国元物业管理有限公司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103</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42</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连云港福安物业服务有限公司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103</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43</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连云港晟晖物业服务有限公司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102.5</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44</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连云港市天润物业管理有限公司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101.5</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45</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连云港市贝斯特物业服务有限公司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101.5</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46</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连云港豪宇物业服务有限公司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101.5</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47</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连云港青和物业管理有限公司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101.5</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48</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连云港市宇洁物业管理有限公司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101</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49</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南京丰盛能源管理有限公司</w:t>
            </w:r>
          </w:p>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连云港分公司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101</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50</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连云港家美物业管理有限公司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100.5</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51</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连云港清旭物业服务有限公司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100.5</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52</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连云港盛欣物业服务有限公司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100</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53</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连云港绿城物业管理有限公司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100</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54</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连云港鸿睿物业服务有限公司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99.5</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55</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连云港新海连物业服务有限公司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99.5</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56</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连云港市经发物业服务有限公司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99.5</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57</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连云港富士来物业服务有限公司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99</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58</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东海县江南人家物业管理有限公司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98.5</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59</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东海县香江物业服务有限公司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98.5</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60</w:t>
            </w:r>
          </w:p>
        </w:tc>
        <w:tc>
          <w:tcPr>
            <w:tcW w:w="472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东海县颐和物业服务有限公司</w:t>
            </w:r>
          </w:p>
        </w:tc>
        <w:tc>
          <w:tcPr>
            <w:tcW w:w="1575"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98.5</w:t>
            </w:r>
          </w:p>
        </w:tc>
        <w:tc>
          <w:tcPr>
            <w:tcW w:w="1380" w:type="dxa"/>
            <w:vAlign w:val="center"/>
          </w:tcPr>
          <w:p>
            <w:pPr>
              <w:widowControl/>
              <w:adjustRightInd w:val="0"/>
              <w:snapToGrid w:val="0"/>
              <w:jc w:val="center"/>
              <w:rPr>
                <w:rFonts w:ascii="Times New Roman" w:hAnsi="Times New Roman" w:eastAsia="仿宋_GB2312" w:cs="Times New Roman"/>
                <w:sz w:val="28"/>
                <w:szCs w:val="21"/>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61</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连云港市新安物业管理有限公司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97.5</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62</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南京青和物业管理有限公司</w:t>
            </w:r>
          </w:p>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连云港分公司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97.5</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63</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连云港市鑫龙物业服务有限公司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97.5</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64</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连云港市润浦物业服务有限公司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97.5</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65</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连云港赣榆恒安物业管理有限公司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97</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66</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连云港赣榆东润物业服务有限公司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97</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67</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连云港市宝达物业管理有限公司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96.5</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68</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灌云县临港物业管理有限公司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96.5</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69</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连云港市宝利来物业服务有限公司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96.5</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70</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东海县绍鑫物业服务有限公司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96.5</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71</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连云港恒美物业管理有限公司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96.5</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72</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连云港市富山物业有限公司</w:t>
            </w:r>
            <w:bookmarkStart w:id="0" w:name="_GoBack"/>
            <w:bookmarkEnd w:id="0"/>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96.5</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73</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连云港市九龙世贸城有限公司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96</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74</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东海县亿茂数码城管理有限公司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96</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75</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连云港市美嘉物业管理有限公司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96</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76</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连云港清新家园物业服务有限公司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95.5</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77</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东海县王林物业管理有限公司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95.5</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78</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连云港福家物业服务有限公司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95</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79</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连云港市吉祥物业服务有限公司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95</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80</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东海县馨安物业管理有限公司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95</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81</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连云港华联物业服务有限公司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95</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82</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东海县龙旺物业有限公司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95</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83</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东海县一鸣物业有限公司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95</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84</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连云港开成物业服务有限公司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95</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85</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连云港市跨世纪物业管理有限公司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95</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86</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连云港泰祥物业服务有限公司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94.5</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87</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连云港金苏杭物业管理有限公司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94.5</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88</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连云港外贸物业管理有限公司</w:t>
            </w:r>
          </w:p>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灌南分公司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94</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89</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灌南县颐达物业管理有限公司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94</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90</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江苏省福如东海温泉大酒店有限公司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94</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91</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连云港海之舟物业管理有限公司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94</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92</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连云港友情物业服务有限公司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94</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93</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深圳市开元国际物业管理有限公司</w:t>
            </w:r>
          </w:p>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连云港分公司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94</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94</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连云港嘉德物业管理有限公司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94</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95</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连云港久通物业管理服务有限公司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94</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96</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连云港市龙凤物业管理有限公司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93</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97</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连云港市赣榆明珠物业管理</w:t>
            </w:r>
          </w:p>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有限责任公司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93</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98</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连云港赣榆长青物业服务有限公司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93</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99</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东海县宜家物业管理有限公司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93</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100</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连云港美尚物业服务有限公司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93</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101</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连云港佳维物业管理有限公司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93</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102</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连云港美成物业服务有限公司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93</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103</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连云港时尚物业服务有限公司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92.5</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104</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江苏洁华物业管理有限公司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92.5</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105</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连云港外贸物业管理有限公司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92</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106</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连云港房泰物业管理有限公司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92</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107</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连云港裕禾物业服务有限公司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92</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108</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连云港市老君堂物业管理有限公司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92</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109</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灌南县祥和物业服务有限公司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92</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110</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灌云馨福嘉缘物业服务有限公司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92</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111</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连云港融榆物业服务有限公司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91.5</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112</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江苏江恒物业管理有限公司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91.5</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113</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连云港赣榆兴泰物业管理有限公司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91.5</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114</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广东碧桂园物业服务股份有限公司</w:t>
            </w:r>
          </w:p>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赣榆分公司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91</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115</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江苏春雨物业管理有限公司</w:t>
            </w:r>
          </w:p>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连云港分公司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91</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116</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灌南华龙达物业管理有限公司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91</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117</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灌南县佳旺物业服务有限公司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91</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118</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灌南县开源物业管理有限公司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91</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119</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连云港金辰实业有限公司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91</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120</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灌南县旭峰物业管理有限公司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90.5</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121</w:t>
            </w:r>
          </w:p>
        </w:tc>
        <w:tc>
          <w:tcPr>
            <w:tcW w:w="472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灌南县民生物业管理有限公司</w:t>
            </w:r>
          </w:p>
        </w:tc>
        <w:tc>
          <w:tcPr>
            <w:tcW w:w="1575"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90.5</w:t>
            </w:r>
          </w:p>
        </w:tc>
        <w:tc>
          <w:tcPr>
            <w:tcW w:w="1380" w:type="dxa"/>
            <w:vAlign w:val="center"/>
          </w:tcPr>
          <w:p>
            <w:pPr>
              <w:widowControl/>
              <w:adjustRightInd w:val="0"/>
              <w:snapToGrid w:val="0"/>
              <w:jc w:val="center"/>
              <w:rPr>
                <w:rFonts w:ascii="Times New Roman" w:hAnsi="Times New Roman" w:eastAsia="仿宋_GB2312" w:cs="Times New Roman"/>
                <w:color w:val="000000"/>
                <w:kern w:val="0"/>
                <w:sz w:val="28"/>
                <w:szCs w:val="21"/>
                <w:lang w:bidi="ar"/>
              </w:rPr>
            </w:pPr>
            <w:r>
              <w:rPr>
                <w:rFonts w:ascii="Times New Roman" w:hAnsi="Times New Roman" w:eastAsia="仿宋_GB2312" w:cs="Times New Roman"/>
                <w:color w:val="000000"/>
                <w:kern w:val="0"/>
                <w:sz w:val="28"/>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38" w:type="dxa"/>
            <w:gridSpan w:val="4"/>
            <w:vAlign w:val="center"/>
          </w:tcPr>
          <w:p>
            <w:pPr>
              <w:adjustRightInd w:val="0"/>
              <w:snapToGrid w:val="0"/>
              <w:jc w:val="left"/>
              <w:rPr>
                <w:rFonts w:ascii="Times New Roman" w:hAnsi="Times New Roman" w:eastAsia="仿宋_GB2312" w:cs="Times New Roman"/>
                <w:kern w:val="0"/>
                <w:sz w:val="28"/>
                <w:szCs w:val="21"/>
              </w:rPr>
            </w:pPr>
            <w:r>
              <w:rPr>
                <w:rFonts w:ascii="Times New Roman" w:hAnsi="Times New Roman" w:eastAsia="仿宋_GB2312" w:cs="Times New Roman"/>
                <w:color w:val="000000"/>
                <w:kern w:val="0"/>
                <w:sz w:val="28"/>
                <w:szCs w:val="21"/>
                <w:lang w:bidi="ar"/>
              </w:rPr>
              <w:t>备注：</w:t>
            </w:r>
            <w:r>
              <w:rPr>
                <w:rFonts w:ascii="Times New Roman" w:hAnsi="Times New Roman" w:eastAsia="仿宋_GB2312" w:cs="Times New Roman"/>
                <w:sz w:val="28"/>
                <w:szCs w:val="21"/>
              </w:rPr>
              <w:t>其他</w:t>
            </w:r>
            <w:r>
              <w:rPr>
                <w:rFonts w:ascii="Times New Roman" w:hAnsi="Times New Roman" w:eastAsia="仿宋_GB2312" w:cs="Times New Roman"/>
                <w:kern w:val="0"/>
                <w:sz w:val="28"/>
                <w:szCs w:val="21"/>
              </w:rPr>
              <w:t>在本市范围内无物业服务项目及</w:t>
            </w:r>
            <w:r>
              <w:rPr>
                <w:rFonts w:ascii="Times New Roman" w:hAnsi="Times New Roman" w:eastAsia="仿宋_GB2312" w:cs="Times New Roman"/>
                <w:sz w:val="28"/>
                <w:szCs w:val="21"/>
              </w:rPr>
              <w:t>未主动参加信用评价</w:t>
            </w:r>
            <w:r>
              <w:rPr>
                <w:rFonts w:ascii="Times New Roman" w:hAnsi="Times New Roman" w:eastAsia="仿宋_GB2312" w:cs="Times New Roman"/>
                <w:kern w:val="0"/>
                <w:sz w:val="28"/>
                <w:szCs w:val="21"/>
              </w:rPr>
              <w:t>的，</w:t>
            </w:r>
          </w:p>
          <w:p>
            <w:pPr>
              <w:adjustRightInd w:val="0"/>
              <w:snapToGrid w:val="0"/>
              <w:ind w:firstLine="840" w:firstLineChars="300"/>
              <w:jc w:val="left"/>
              <w:rPr>
                <w:rFonts w:ascii="Times New Roman" w:hAnsi="Times New Roman" w:eastAsia="仿宋_GB2312" w:cs="Times New Roman"/>
                <w:color w:val="000000"/>
                <w:kern w:val="0"/>
                <w:sz w:val="24"/>
                <w:szCs w:val="21"/>
                <w:lang w:bidi="ar"/>
              </w:rPr>
            </w:pPr>
            <w:r>
              <w:rPr>
                <w:rFonts w:ascii="Times New Roman" w:hAnsi="Times New Roman" w:eastAsia="仿宋_GB2312" w:cs="Times New Roman"/>
                <w:kern w:val="0"/>
                <w:sz w:val="28"/>
                <w:szCs w:val="21"/>
              </w:rPr>
              <w:t>评价结果不在本次公示范围内。</w:t>
            </w:r>
          </w:p>
        </w:tc>
      </w:tr>
    </w:tbl>
    <w:p>
      <w:pPr>
        <w:rPr>
          <w:rFonts w:hint="eastAsia" w:ascii="Times New Roman" w:hAnsi="Times New Roman" w:eastAsia="仿宋_GB2312" w:cs="Times New Roman"/>
          <w:sz w:val="32"/>
          <w:szCs w:val="32"/>
        </w:rPr>
      </w:pPr>
    </w:p>
    <w:sectPr>
      <w:footerReference r:id="rId3" w:type="default"/>
      <w:footerReference r:id="rId4" w:type="even"/>
      <w:pgSz w:w="11906" w:h="16838"/>
      <w:pgMar w:top="2098" w:right="1474" w:bottom="1702" w:left="1588"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Style w:val="7"/>
        <w:rFonts w:hint="eastAsia"/>
        <w:sz w:val="28"/>
      </w:rPr>
      <w:t xml:space="preserve">— </w:t>
    </w:r>
    <w:r>
      <w:rPr>
        <w:rStyle w:val="7"/>
        <w:rFonts w:ascii="Times New Roman" w:hAnsi="Times New Roman" w:cs="Times New Roman"/>
        <w:sz w:val="28"/>
      </w:rPr>
      <w:fldChar w:fldCharType="begin"/>
    </w:r>
    <w:r>
      <w:rPr>
        <w:rStyle w:val="7"/>
        <w:rFonts w:ascii="Times New Roman" w:hAnsi="Times New Roman" w:cs="Times New Roman"/>
        <w:sz w:val="28"/>
      </w:rPr>
      <w:instrText xml:space="preserve"> PAGE </w:instrText>
    </w:r>
    <w:r>
      <w:rPr>
        <w:rStyle w:val="7"/>
        <w:rFonts w:ascii="Times New Roman" w:hAnsi="Times New Roman" w:cs="Times New Roman"/>
        <w:sz w:val="28"/>
      </w:rPr>
      <w:fldChar w:fldCharType="separate"/>
    </w:r>
    <w:r>
      <w:rPr>
        <w:rStyle w:val="7"/>
        <w:rFonts w:ascii="Times New Roman" w:hAnsi="Times New Roman" w:cs="Times New Roman"/>
        <w:sz w:val="28"/>
      </w:rPr>
      <w:t>1</w:t>
    </w:r>
    <w:r>
      <w:rPr>
        <w:rStyle w:val="7"/>
        <w:rFonts w:ascii="Times New Roman" w:hAnsi="Times New Roman" w:cs="Times New Roman"/>
        <w:sz w:val="28"/>
      </w:rPr>
      <w:fldChar w:fldCharType="end"/>
    </w:r>
    <w:r>
      <w:rPr>
        <w:rStyle w:val="7"/>
        <w:rFonts w:ascii="Times New Roman" w:hAnsi="Times New Roman" w:cs="Times New Roman"/>
        <w:sz w:val="28"/>
      </w:rPr>
      <w:t xml:space="preserve"> </w:t>
    </w:r>
    <w:r>
      <w:rPr>
        <w:rStyle w:val="7"/>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Style w:val="7"/>
        <w:rFonts w:hint="eastAsia"/>
        <w:sz w:val="28"/>
      </w:rPr>
      <w:t xml:space="preserve">— </w:t>
    </w:r>
    <w:r>
      <w:rPr>
        <w:rStyle w:val="7"/>
        <w:rFonts w:ascii="Times New Roman" w:hAnsi="Times New Roman" w:cs="Times New Roman"/>
        <w:sz w:val="28"/>
      </w:rPr>
      <w:fldChar w:fldCharType="begin"/>
    </w:r>
    <w:r>
      <w:rPr>
        <w:rStyle w:val="7"/>
        <w:rFonts w:ascii="Times New Roman" w:hAnsi="Times New Roman" w:cs="Times New Roman"/>
        <w:sz w:val="28"/>
      </w:rPr>
      <w:instrText xml:space="preserve"> PAGE </w:instrText>
    </w:r>
    <w:r>
      <w:rPr>
        <w:rStyle w:val="7"/>
        <w:rFonts w:ascii="Times New Roman" w:hAnsi="Times New Roman" w:cs="Times New Roman"/>
        <w:sz w:val="28"/>
      </w:rPr>
      <w:fldChar w:fldCharType="separate"/>
    </w:r>
    <w:r>
      <w:rPr>
        <w:rStyle w:val="7"/>
        <w:rFonts w:ascii="Times New Roman" w:hAnsi="Times New Roman" w:cs="Times New Roman"/>
        <w:sz w:val="28"/>
      </w:rPr>
      <w:t>1</w:t>
    </w:r>
    <w:r>
      <w:rPr>
        <w:rStyle w:val="7"/>
        <w:rFonts w:ascii="Times New Roman" w:hAnsi="Times New Roman" w:cs="Times New Roman"/>
        <w:sz w:val="28"/>
      </w:rPr>
      <w:fldChar w:fldCharType="end"/>
    </w:r>
    <w:r>
      <w:rPr>
        <w:rStyle w:val="7"/>
        <w:rFonts w:hint="eastAsia"/>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364"/>
    <w:rsid w:val="000001CD"/>
    <w:rsid w:val="00061E76"/>
    <w:rsid w:val="001547DA"/>
    <w:rsid w:val="00277884"/>
    <w:rsid w:val="003650AC"/>
    <w:rsid w:val="00385465"/>
    <w:rsid w:val="004305BF"/>
    <w:rsid w:val="00472749"/>
    <w:rsid w:val="004D7B52"/>
    <w:rsid w:val="00515A08"/>
    <w:rsid w:val="00771AE8"/>
    <w:rsid w:val="00845364"/>
    <w:rsid w:val="00855777"/>
    <w:rsid w:val="00986FE2"/>
    <w:rsid w:val="009D28A6"/>
    <w:rsid w:val="00AB63A6"/>
    <w:rsid w:val="00AC5F84"/>
    <w:rsid w:val="00AD4ABC"/>
    <w:rsid w:val="00CC3C5A"/>
    <w:rsid w:val="00CD23AB"/>
    <w:rsid w:val="00CD5903"/>
    <w:rsid w:val="00E20376"/>
    <w:rsid w:val="00EE1245"/>
    <w:rsid w:val="00F01D8C"/>
    <w:rsid w:val="00F5759C"/>
    <w:rsid w:val="00F65BFB"/>
    <w:rsid w:val="00F67FB3"/>
    <w:rsid w:val="0427424F"/>
    <w:rsid w:val="076D3792"/>
    <w:rsid w:val="0842346C"/>
    <w:rsid w:val="0A5F7923"/>
    <w:rsid w:val="0E9C253A"/>
    <w:rsid w:val="11437698"/>
    <w:rsid w:val="1147169E"/>
    <w:rsid w:val="11FE55CA"/>
    <w:rsid w:val="19596B68"/>
    <w:rsid w:val="1B264E1C"/>
    <w:rsid w:val="2A7475AD"/>
    <w:rsid w:val="2ADA0AC7"/>
    <w:rsid w:val="2B985FE2"/>
    <w:rsid w:val="2D454463"/>
    <w:rsid w:val="30032CE6"/>
    <w:rsid w:val="31A730BC"/>
    <w:rsid w:val="3513594F"/>
    <w:rsid w:val="36802F52"/>
    <w:rsid w:val="36F04691"/>
    <w:rsid w:val="39A927DB"/>
    <w:rsid w:val="3E817388"/>
    <w:rsid w:val="3F2C30E4"/>
    <w:rsid w:val="414D0105"/>
    <w:rsid w:val="42C5245B"/>
    <w:rsid w:val="45DB2EBB"/>
    <w:rsid w:val="488E21C0"/>
    <w:rsid w:val="4BE279BE"/>
    <w:rsid w:val="4D35022E"/>
    <w:rsid w:val="565F21DE"/>
    <w:rsid w:val="580616A9"/>
    <w:rsid w:val="5F453691"/>
    <w:rsid w:val="60640243"/>
    <w:rsid w:val="620F50DE"/>
    <w:rsid w:val="6E625CE2"/>
    <w:rsid w:val="75EA51CF"/>
    <w:rsid w:val="7AF4605D"/>
    <w:rsid w:val="7B980502"/>
    <w:rsid w:val="7C1B2AD1"/>
    <w:rsid w:val="7CB33F18"/>
    <w:rsid w:val="7D36112A"/>
    <w:rsid w:val="7F540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225" w:line="450" w:lineRule="atLeast"/>
      <w:jc w:val="center"/>
      <w:outlineLvl w:val="2"/>
    </w:pPr>
    <w:rPr>
      <w:rFonts w:hint="eastAsia" w:ascii="宋体" w:hAnsi="宋体" w:eastAsia="宋体" w:cs="Times New Roman"/>
      <w:b/>
      <w:color w:val="000000"/>
      <w:kern w:val="0"/>
      <w:sz w:val="30"/>
      <w:szCs w:val="30"/>
    </w:rPr>
  </w:style>
  <w:style w:type="character" w:default="1" w:styleId="5">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styleId="7">
    <w:name w:val="page number"/>
    <w:qFormat/>
    <w:uiPriority w:val="0"/>
  </w:style>
  <w:style w:type="character" w:styleId="8">
    <w:name w:val="FollowedHyperlink"/>
    <w:basedOn w:val="5"/>
    <w:qFormat/>
    <w:uiPriority w:val="0"/>
    <w:rPr>
      <w:color w:val="333333"/>
      <w:u w:val="none"/>
    </w:rPr>
  </w:style>
  <w:style w:type="character" w:styleId="9">
    <w:name w:val="Hyperlink"/>
    <w:basedOn w:val="5"/>
    <w:qFormat/>
    <w:uiPriority w:val="0"/>
    <w:rPr>
      <w:color w:val="0000FF"/>
      <w:u w:val="single"/>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页眉 字符"/>
    <w:basedOn w:val="5"/>
    <w:link w:val="4"/>
    <w:qFormat/>
    <w:uiPriority w:val="0"/>
    <w:rPr>
      <w:rFonts w:asciiTheme="minorHAnsi" w:hAnsiTheme="minorHAnsi" w:eastAsiaTheme="minorEastAsia" w:cstheme="minorBidi"/>
      <w:kern w:val="2"/>
      <w:sz w:val="18"/>
      <w:szCs w:val="18"/>
    </w:rPr>
  </w:style>
  <w:style w:type="character" w:customStyle="1" w:styleId="13">
    <w:name w:val="页脚 字符"/>
    <w:basedOn w:val="5"/>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547</Words>
  <Characters>3119</Characters>
  <Lines>25</Lines>
  <Paragraphs>7</Paragraphs>
  <TotalTime>16</TotalTime>
  <ScaleCrop>false</ScaleCrop>
  <LinksUpToDate>false</LinksUpToDate>
  <CharactersWithSpaces>3659</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Administrator.ZGC-20170602PYD</dc:creator>
  <cp:lastModifiedBy>李瑞</cp:lastModifiedBy>
  <cp:lastPrinted>2018-12-29T08:18:00Z</cp:lastPrinted>
  <dcterms:modified xsi:type="dcterms:W3CDTF">2019-01-08T02:33:10Z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