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9A86">
      <w:r>
        <w:rPr>
          <w:kern w:val="0"/>
        </w:rPr>
        <w:t>202</w:t>
      </w:r>
      <w:r>
        <w:rPr>
          <w:rFonts w:hint="eastAsia"/>
          <w:kern w:val="0"/>
        </w:rPr>
        <w:t>6</w:t>
      </w:r>
      <w:r>
        <w:rPr>
          <w:kern w:val="0"/>
        </w:rPr>
        <w:t>年江苏省优质工程奖扬子杯申报项目</w:t>
      </w:r>
      <w:r>
        <w:rPr>
          <w:rFonts w:hint="eastAsia"/>
          <w:kern w:val="0"/>
        </w:rPr>
        <w:t>清单</w:t>
      </w:r>
    </w:p>
    <w:p w14:paraId="793BB5CE">
      <w:pPr>
        <w:rPr>
          <w:kern w:val="0"/>
        </w:rPr>
      </w:pPr>
      <w:r>
        <w:rPr>
          <w:rFonts w:hint="eastAsia"/>
          <w:kern w:val="0"/>
        </w:rPr>
        <w:t>申报类别：</w:t>
      </w:r>
      <w:r>
        <w:rPr>
          <w:rFonts w:hint="eastAsia"/>
          <w:kern w:val="0"/>
          <w:lang w:eastAsia="zh-CN"/>
        </w:rPr>
        <w:t>市政</w:t>
      </w:r>
      <w:r>
        <w:rPr>
          <w:rFonts w:hint="eastAsia"/>
          <w:kern w:val="0"/>
        </w:rPr>
        <w:t>工程</w:t>
      </w:r>
    </w:p>
    <w:tbl>
      <w:tblPr>
        <w:tblStyle w:val="12"/>
        <w:tblW w:w="14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53"/>
        <w:gridCol w:w="1265"/>
        <w:gridCol w:w="2176"/>
        <w:gridCol w:w="1133"/>
        <w:gridCol w:w="1691"/>
        <w:gridCol w:w="1852"/>
        <w:gridCol w:w="2127"/>
        <w:gridCol w:w="1897"/>
      </w:tblGrid>
      <w:tr w14:paraId="1500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2BAA9B5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bookmarkStart w:id="0" w:name="_GoBack" w:colFirst="5" w:colLast="6"/>
            <w:r>
              <w:rPr>
                <w:rFonts w:hint="eastAsia" w:ascii="Times New Roman" w:hAnsi="Times New Roman"/>
                <w:kern w:val="0"/>
                <w:sz w:val="24"/>
              </w:rPr>
              <w:t>序号</w:t>
            </w:r>
          </w:p>
        </w:tc>
        <w:tc>
          <w:tcPr>
            <w:tcW w:w="1353" w:type="dxa"/>
            <w:vAlign w:val="center"/>
          </w:tcPr>
          <w:p w14:paraId="4E0D409F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申报单位</w:t>
            </w:r>
          </w:p>
        </w:tc>
        <w:tc>
          <w:tcPr>
            <w:tcW w:w="1265" w:type="dxa"/>
            <w:vAlign w:val="center"/>
          </w:tcPr>
          <w:p w14:paraId="6D74F29F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工程名称</w:t>
            </w:r>
          </w:p>
        </w:tc>
        <w:tc>
          <w:tcPr>
            <w:tcW w:w="2176" w:type="dxa"/>
            <w:vAlign w:val="center"/>
          </w:tcPr>
          <w:p w14:paraId="3A8CACF5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项目概况</w:t>
            </w:r>
          </w:p>
        </w:tc>
        <w:tc>
          <w:tcPr>
            <w:tcW w:w="1133" w:type="dxa"/>
            <w:vAlign w:val="center"/>
          </w:tcPr>
          <w:p w14:paraId="41D3FBC2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项目竣工验收合格时间</w:t>
            </w:r>
          </w:p>
        </w:tc>
        <w:tc>
          <w:tcPr>
            <w:tcW w:w="1691" w:type="dxa"/>
            <w:vAlign w:val="center"/>
          </w:tcPr>
          <w:p w14:paraId="7C6E2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项目亮点</w:t>
            </w:r>
          </w:p>
        </w:tc>
        <w:tc>
          <w:tcPr>
            <w:tcW w:w="1852" w:type="dxa"/>
            <w:vAlign w:val="center"/>
          </w:tcPr>
          <w:p w14:paraId="293F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项目成效</w:t>
            </w:r>
          </w:p>
        </w:tc>
        <w:tc>
          <w:tcPr>
            <w:tcW w:w="2127" w:type="dxa"/>
            <w:vAlign w:val="center"/>
          </w:tcPr>
          <w:p w14:paraId="0F6ACDAB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项目特征图片</w:t>
            </w:r>
          </w:p>
          <w:p w14:paraId="0F60C2C9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（每个项目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</w:rPr>
              <w:t>张）</w:t>
            </w:r>
          </w:p>
        </w:tc>
        <w:tc>
          <w:tcPr>
            <w:tcW w:w="1897" w:type="dxa"/>
            <w:vAlign w:val="center"/>
          </w:tcPr>
          <w:p w14:paraId="0E1D4C33">
            <w:pPr>
              <w:widowControl w:val="0"/>
              <w:rPr>
                <w:rFonts w:ascii="Times New Roman" w:hAnsi="Times New Roman"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图片文字说明</w:t>
            </w:r>
          </w:p>
        </w:tc>
      </w:tr>
      <w:tr w14:paraId="728F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17" w:type="dxa"/>
            <w:vAlign w:val="center"/>
          </w:tcPr>
          <w:p w14:paraId="60F6B806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353" w:type="dxa"/>
            <w:shd w:val="clear"/>
            <w:vAlign w:val="center"/>
          </w:tcPr>
          <w:p w14:paraId="73FEB144">
            <w:pPr>
              <w:widowControl w:val="0"/>
              <w:rPr>
                <w:rFonts w:ascii="Times New Roman" w:hAnsi="Times New Roman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南京兰庭绿色建筑技术有限公司</w:t>
            </w:r>
          </w:p>
        </w:tc>
        <w:tc>
          <w:tcPr>
            <w:tcW w:w="1265" w:type="dxa"/>
            <w:shd w:val="clear"/>
            <w:vAlign w:val="center"/>
          </w:tcPr>
          <w:p w14:paraId="0CE37DE9">
            <w:pPr>
              <w:widowControl w:val="0"/>
              <w:rPr>
                <w:rFonts w:ascii="Times New Roman" w:hAnsi="Times New Roman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玉带河路（郁州南路-南极南路）北岸及樱花园等海绵城市改造工程（EPC）</w:t>
            </w:r>
          </w:p>
        </w:tc>
        <w:tc>
          <w:tcPr>
            <w:tcW w:w="2176" w:type="dxa"/>
            <w:shd w:val="clear"/>
            <w:vAlign w:val="center"/>
          </w:tcPr>
          <w:p w14:paraId="0E61FF08">
            <w:pPr>
              <w:widowControl w:val="0"/>
              <w:rPr>
                <w:rFonts w:ascii="Times New Roman" w:hAnsi="Times New Roman" w:eastAsia="宋体" w:cs="宋体"/>
                <w:bCs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Cs/>
                <w:color w:val="auto"/>
                <w:sz w:val="24"/>
              </w:rPr>
              <w:t>本工程包含公园绿地、市政道路、河道水系的海绵城市改造。运用了生物滞留设施、透水铺装、环保雨水口、调蓄池、人工湿地等海绵设施。实现了海绵功能的同时，服务周边市民景观、休憩需求。</w:t>
            </w:r>
          </w:p>
        </w:tc>
        <w:tc>
          <w:tcPr>
            <w:tcW w:w="1133" w:type="dxa"/>
            <w:shd w:val="clear"/>
            <w:vAlign w:val="center"/>
          </w:tcPr>
          <w:p w14:paraId="60818FE6">
            <w:pPr>
              <w:widowControl w:val="0"/>
              <w:rPr>
                <w:rFonts w:ascii="Times New Roman" w:hAnsi="Times New Roman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2023.5.30</w:t>
            </w:r>
          </w:p>
        </w:tc>
        <w:tc>
          <w:tcPr>
            <w:tcW w:w="1691" w:type="dxa"/>
            <w:shd w:val="clear"/>
            <w:vAlign w:val="center"/>
          </w:tcPr>
          <w:p w14:paraId="3FA7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i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iCs/>
                <w:color w:val="auto"/>
                <w:sz w:val="24"/>
              </w:rPr>
              <w:t>1、将海绵元素自然融入项目。</w:t>
            </w:r>
          </w:p>
          <w:p w14:paraId="4FD9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iCs/>
                <w:color w:val="auto"/>
                <w:sz w:val="24"/>
              </w:rPr>
            </w:pPr>
            <w:r>
              <w:rPr>
                <w:rFonts w:hint="eastAsia" w:ascii="Times New Roman" w:hAnsi="Times New Roman"/>
                <w:iCs/>
                <w:color w:val="auto"/>
                <w:sz w:val="24"/>
              </w:rPr>
              <w:t>2、海绵城市数据监测和科普宣传。</w:t>
            </w:r>
          </w:p>
          <w:p w14:paraId="4AEB1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 w:eastAsia="宋体" w:cs="宋体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Cs/>
                <w:color w:val="auto"/>
                <w:sz w:val="24"/>
              </w:rPr>
              <w:t>3、面源控污型雨水井；装配式钢结构雨水调蓄池；模块化滤料等海绵城市新技术应用。</w:t>
            </w:r>
          </w:p>
        </w:tc>
        <w:tc>
          <w:tcPr>
            <w:tcW w:w="1852" w:type="dxa"/>
            <w:shd w:val="clear"/>
            <w:vAlign w:val="center"/>
          </w:tcPr>
          <w:p w14:paraId="3EF8E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1、缓解局部积水问题，降低内涝风险；控制径流污染，改善水环境；通过收集净化雨水，提高雨水资源化利用率。</w:t>
            </w:r>
          </w:p>
          <w:p w14:paraId="600C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2、提升周边景观与基础设施，美化宜居环境，提升居民幸福感。</w:t>
            </w:r>
          </w:p>
          <w:p w14:paraId="333C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3、海绵城市新技术的研究与应用，助力海绵城市全域推广建设。</w:t>
            </w:r>
          </w:p>
        </w:tc>
        <w:tc>
          <w:tcPr>
            <w:tcW w:w="2127" w:type="dxa"/>
            <w:shd w:val="clear"/>
            <w:vAlign w:val="center"/>
          </w:tcPr>
          <w:p w14:paraId="24106041">
            <w:pPr>
              <w:widowControl w:val="0"/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position w:val="-74"/>
              </w:rPr>
              <w:drawing>
                <wp:inline distT="0" distB="0" distL="0" distR="0">
                  <wp:extent cx="1259840" cy="1080135"/>
                  <wp:effectExtent l="0" t="0" r="16510" b="5715"/>
                  <wp:docPr id="3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2"/>
                          <pic:cNvPicPr/>
                        </pic:nvPicPr>
                        <pic:blipFill>
                          <a:blip r:embed="rId4"/>
                          <a:srcRect l="50124" t="7322" b="8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40"/>
              </w:rPr>
              <w:drawing>
                <wp:inline distT="0" distB="0" distL="0" distR="0">
                  <wp:extent cx="1259840" cy="1296670"/>
                  <wp:effectExtent l="0" t="0" r="16510" b="17780"/>
                  <wp:docPr id="4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2"/>
                          <pic:cNvPicPr/>
                        </pic:nvPicPr>
                        <pic:blipFill>
                          <a:blip r:embed="rId5"/>
                          <a:srcRect t="150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shd w:val="clear"/>
            <w:vAlign w:val="center"/>
          </w:tcPr>
          <w:p w14:paraId="3FDD3043">
            <w:pPr>
              <w:widowControl w:val="0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图1：市政道路设置透水铺装、生物滞留设施，服务道路高径流、高污染场景。</w:t>
            </w:r>
          </w:p>
          <w:p w14:paraId="33526243">
            <w:pPr>
              <w:widowControl w:val="0"/>
              <w:jc w:val="both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  <w:p w14:paraId="32A929B9">
            <w:pPr>
              <w:widowControl w:val="0"/>
              <w:jc w:val="both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  <w:p w14:paraId="16F80A8B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图2：人工湿地设置于公园绿地，辐射周边，改善水环境。</w:t>
            </w:r>
          </w:p>
          <w:p w14:paraId="3F432928">
            <w:pPr>
              <w:widowControl w:val="0"/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3ED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17" w:type="dxa"/>
            <w:vAlign w:val="center"/>
          </w:tcPr>
          <w:p w14:paraId="7F66ED02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353" w:type="dxa"/>
            <w:shd w:val="clear"/>
            <w:vAlign w:val="center"/>
          </w:tcPr>
          <w:p w14:paraId="2A9F74C4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济南普利供水工程有限公司</w:t>
            </w:r>
          </w:p>
        </w:tc>
        <w:tc>
          <w:tcPr>
            <w:tcW w:w="1265" w:type="dxa"/>
            <w:shd w:val="clear"/>
            <w:vAlign w:val="center"/>
          </w:tcPr>
          <w:p w14:paraId="424F539A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东海县西双湖应急水源工程总承包（EPC）</w:t>
            </w:r>
          </w:p>
        </w:tc>
        <w:tc>
          <w:tcPr>
            <w:tcW w:w="2176" w:type="dxa"/>
            <w:shd w:val="clear"/>
            <w:vAlign w:val="center"/>
          </w:tcPr>
          <w:p w14:paraId="417640F2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本工程位于连云港市东海县，新建应急取水泵站坐落于西双湖水库北堤4#灌溉涵洞与晶都大道之间，输水管线沿晶都大道、博世路等敷设至城北水厂。</w:t>
            </w:r>
          </w:p>
          <w:p w14:paraId="4D865111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工程总建设规模为10万m³/d应急取水泵站一座；主要建构筑物及管线工程：</w:t>
            </w:r>
          </w:p>
          <w:p w14:paraId="5A7AE94D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取水泵房及配电间，建筑面积645.64㎡；</w:t>
            </w:r>
          </w:p>
          <w:p w14:paraId="21CA1545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加药间及辅助用房，建筑面积307.20㎡；</w:t>
            </w:r>
          </w:p>
          <w:p w14:paraId="424DA771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DN1400应急输水管线1条，总长约5.16Km；</w:t>
            </w:r>
          </w:p>
          <w:p w14:paraId="23C902C7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混凝土闷井1座，DN1500引水管1条，长度50m；</w:t>
            </w:r>
          </w:p>
          <w:p w14:paraId="2692D93A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5、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DN1000灌溉渠1条，长度184m。</w:t>
            </w:r>
          </w:p>
          <w:p w14:paraId="641F1061">
            <w:pPr>
              <w:widowControl w:val="0"/>
              <w:rPr>
                <w:rFonts w:hint="default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33" w:type="dxa"/>
            <w:shd w:val="clear"/>
            <w:vAlign w:val="center"/>
          </w:tcPr>
          <w:p w14:paraId="1D47910F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2023.6.28</w:t>
            </w:r>
          </w:p>
        </w:tc>
        <w:tc>
          <w:tcPr>
            <w:tcW w:w="1691" w:type="dxa"/>
            <w:shd w:val="clear"/>
            <w:vAlign w:val="center"/>
          </w:tcPr>
          <w:p w14:paraId="539A6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工程涵盖泵站土建、机电安装、大口径长距离管道敷设、水利渠系改造等多专业施工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eastAsia="zh-CN"/>
              </w:rPr>
              <w:t>；</w:t>
            </w:r>
          </w:p>
          <w:p w14:paraId="0A55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涉及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大口径管线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施工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深基坑支护、高支模等施工；</w:t>
            </w:r>
          </w:p>
          <w:p w14:paraId="6D73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具有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地质条件复杂、野外作业线路长、交叉施工多、防水防渗及管道安装精度要求高、泵站设备集成度高等特点。</w:t>
            </w:r>
          </w:p>
          <w:p w14:paraId="6E63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</w:p>
          <w:p w14:paraId="3B43D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52" w:type="dxa"/>
            <w:shd w:val="clear"/>
            <w:vAlign w:val="center"/>
          </w:tcPr>
          <w:p w14:paraId="19A0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本工程为东海县重点应急供水保障工程，承担县域应急供水、水源调配、城区供水补源重要功能，对完善县域供水安全保障体系、提升西双湖水资源利用效率、保障居民生活及生产用水安全具有重大民生意义。</w:t>
            </w:r>
          </w:p>
          <w:p w14:paraId="44002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127" w:type="dxa"/>
            <w:shd w:val="clear"/>
            <w:vAlign w:val="center"/>
          </w:tcPr>
          <w:p w14:paraId="7FD3C37E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drawing>
                <wp:inline distT="0" distB="0" distL="114300" distR="114300">
                  <wp:extent cx="1181100" cy="787400"/>
                  <wp:effectExtent l="0" t="0" r="0" b="12700"/>
                  <wp:docPr id="7" name="图片 7" descr="D:/Users/Administrator/Desktop/扬子杯/申报清单图片 (1).jpg申报清单图片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Users/Administrator/Desktop/扬子杯/申报清单图片 (1).jpg申报清单图片 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5565" b="55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drawing>
                <wp:inline distT="0" distB="0" distL="114300" distR="114300">
                  <wp:extent cx="1181100" cy="787400"/>
                  <wp:effectExtent l="0" t="0" r="0" b="12700"/>
                  <wp:docPr id="8" name="图片 8" descr="D:/Users/Administrator/Desktop/扬子杯/申报清单图片 (2).jpg申报清单图片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/Users/Administrator/Desktop/扬子杯/申报清单图片 (2).jpg申报清单图片 (2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930" b="29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shd w:val="clear"/>
            <w:vAlign w:val="center"/>
          </w:tcPr>
          <w:p w14:paraId="21F3D804">
            <w:pPr>
              <w:widowControl w:val="0"/>
              <w:rPr>
                <w:rFonts w:hint="default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图1：泵站设计为</w:t>
            </w:r>
            <w:r>
              <w:rPr>
                <w:rFonts w:hint="default" w:ascii="Times New Roman" w:hAnsi="Times New Roman"/>
                <w:snapToGrid w:val="0"/>
                <w:color w:val="auto"/>
                <w:kern w:val="0"/>
                <w:sz w:val="24"/>
              </w:rPr>
              <w:t>徽派建筑风格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/>
                <w:snapToGrid w:val="0"/>
                <w:color w:val="auto"/>
                <w:kern w:val="0"/>
                <w:sz w:val="24"/>
              </w:rPr>
              <w:t>灰瓦白墙，能完美融合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市政给排水工程</w:t>
            </w:r>
            <w:r>
              <w:rPr>
                <w:rFonts w:hint="default" w:ascii="Times New Roman" w:hAnsi="Times New Roman"/>
                <w:snapToGrid w:val="0"/>
                <w:color w:val="auto"/>
                <w:kern w:val="0"/>
                <w:sz w:val="24"/>
              </w:rPr>
              <w:t>的功能性与传统美学，使其成为地域景观的一部分，而非突兀的工业设施。</w:t>
            </w:r>
          </w:p>
          <w:p w14:paraId="31768C66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图2：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泵站位于西双湖与晶都大道之间，与西双湖北岸景观带融为一体，成为西双湖</w:t>
            </w:r>
            <w:r>
              <w:rPr>
                <w:rFonts w:hint="default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北岸景观带的有机组成部分，用徽派的素雅水墨色调，呼应西双湖的碧水蓝天与湿地绿意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，功能隐身、美学融入、生态共生</w:t>
            </w:r>
            <w:r>
              <w:rPr>
                <w:rFonts w:hint="default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  <w:t>。</w:t>
            </w:r>
          </w:p>
          <w:p w14:paraId="2B36CE5F">
            <w:pPr>
              <w:widowControl w:val="0"/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1BD0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17" w:type="dxa"/>
            <w:vAlign w:val="center"/>
          </w:tcPr>
          <w:p w14:paraId="720536B7">
            <w:pPr>
              <w:widowControl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353" w:type="dxa"/>
            <w:shd w:val="clear"/>
            <w:vAlign w:val="center"/>
          </w:tcPr>
          <w:p w14:paraId="4D10F1CE">
            <w:pPr>
              <w:widowControl w:val="0"/>
              <w:rPr>
                <w:rFonts w:ascii="Times New Roman" w:hAnsi="Times New Roman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中交天津航道局有限公司</w:t>
            </w:r>
          </w:p>
        </w:tc>
        <w:tc>
          <w:tcPr>
            <w:tcW w:w="1265" w:type="dxa"/>
            <w:shd w:val="clear"/>
            <w:vAlign w:val="center"/>
          </w:tcPr>
          <w:p w14:paraId="1E195842">
            <w:pPr>
              <w:widowControl w:val="0"/>
              <w:rPr>
                <w:rFonts w:ascii="Times New Roman" w:hAnsi="Times New Roman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大浦工业区污水处理厂扩建和一期提标改造工程-变配电间(厂房）、细格栅曝气沉砂池（厂房）</w:t>
            </w:r>
          </w:p>
        </w:tc>
        <w:tc>
          <w:tcPr>
            <w:tcW w:w="2176" w:type="dxa"/>
            <w:shd w:val="clear"/>
            <w:vAlign w:val="center"/>
          </w:tcPr>
          <w:p w14:paraId="4D5BAF72">
            <w:pPr>
              <w:widowControl w:val="0"/>
              <w:rPr>
                <w:rFonts w:ascii="Times New Roman" w:hAnsi="Times New Roman" w:eastAsia="宋体" w:cs="宋体"/>
                <w:bCs/>
                <w:i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</w:rPr>
              <w:t>现状污水厂提标：一期百乐克生化池改为改良AAO池、一期稳定池改为二沉池，一期粗格栅及提升泵站、磁混凝沉清池、接触消毒池土建已按10万吨/d建成，本期新增/更换设备，一期加药间、污泥脱水间、鼓风机房均利用现有建筑，仅增加或更换设备，一期细格栅及进出水管继续使用，仅预留维修费用，一期粗格栅、细格栅、储泥池进行加盖除臭。</w:t>
            </w:r>
            <w:r>
              <w:rPr>
                <w:rFonts w:ascii="Times New Roman" w:hAnsi="Times New Roman"/>
                <w:iCs/>
                <w:color w:val="auto"/>
                <w:sz w:val="24"/>
              </w:rPr>
              <w:cr/>
            </w:r>
            <w:r>
              <w:rPr>
                <w:rFonts w:ascii="Times New Roman" w:hAnsi="Times New Roman"/>
                <w:iCs/>
                <w:color w:val="auto"/>
                <w:sz w:val="24"/>
              </w:rPr>
              <w:t>二期新建5.2万m3/d污水处理设施：新建建/构筑物包含变配电间，细格栅曝气沉砂池，储泥池，水解酸化池+AAOAO生化池+二沉池。</w:t>
            </w:r>
          </w:p>
        </w:tc>
        <w:tc>
          <w:tcPr>
            <w:tcW w:w="1133" w:type="dxa"/>
            <w:shd w:val="clear"/>
            <w:vAlign w:val="center"/>
          </w:tcPr>
          <w:p w14:paraId="669F7243">
            <w:pPr>
              <w:widowControl w:val="0"/>
              <w:rPr>
                <w:rFonts w:ascii="Times New Roman" w:hAnsi="Times New Roman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</w:rPr>
              <w:t>2022.10.15</w:t>
            </w:r>
          </w:p>
        </w:tc>
        <w:tc>
          <w:tcPr>
            <w:tcW w:w="1691" w:type="dxa"/>
            <w:shd w:val="clear"/>
            <w:vAlign w:val="center"/>
          </w:tcPr>
          <w:p w14:paraId="64E1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1、池体构筑物表面光滑无裂纹，无渗漏现象，顶板光滑、平顺、无积水，材料送检、现场实体检测等各指标符合设计要求。</w:t>
            </w:r>
          </w:p>
          <w:p w14:paraId="7BCA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2、本工程自实施以来，严格按照各规范标准施工，加强现场安全文明质量施工，先后获得连云港市安全文明工地、江苏省星标工地，连云港市优质结构工程奖等奖项。</w:t>
            </w:r>
          </w:p>
          <w:p w14:paraId="5DE2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3、施工现场设有智慧工地，分别建设安全体验馆，工艺展示管，智慧工地应用馆，对整体施工流程、安全防范与体验、视频监控、环境监测、车辆道闸、人员门禁、机械管理、BIM施工管理、质量安全管理等，以综合一体化管控平台集成各类工程项目资源。</w:t>
            </w:r>
          </w:p>
          <w:p w14:paraId="1AE2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4、本工程厂区道路工程线型通顺，沥青路面平整、密实路缘石平整、顺直，道路排水通畅，混凝土取芯达到设计要求。</w:t>
            </w:r>
          </w:p>
          <w:p w14:paraId="183B0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宋体" w:cs="宋体"/>
                <w:bCs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2" w:type="dxa"/>
            <w:shd w:val="clear"/>
            <w:vAlign w:val="center"/>
          </w:tcPr>
          <w:p w14:paraId="4E79E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</w:p>
          <w:p w14:paraId="2B433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1、</w:t>
            </w:r>
            <w:r>
              <w:rPr>
                <w:rFonts w:ascii="Times New Roman" w:hAnsi="Times New Roman"/>
                <w:b/>
                <w:bCs w:val="0"/>
                <w:snapToGrid w:val="0"/>
                <w:color w:val="auto"/>
                <w:kern w:val="0"/>
                <w:sz w:val="24"/>
              </w:rPr>
              <w:t>有效缓解污水压力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  <w:t>：建成后与一期工程同步运行，彻底解决了高新区、宋跳高新区及大浦工业区56平方公里范围内污水处理能力不足的问题</w:t>
            </w:r>
          </w:p>
          <w:p w14:paraId="676B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4"/>
              </w:rPr>
              <w:t>2、</w:t>
            </w:r>
            <w:r>
              <w:rPr>
                <w:rFonts w:ascii="Times New Roman" w:hAnsi="Times New Roman"/>
                <w:b/>
                <w:snapToGrid w:val="0"/>
                <w:color w:val="auto"/>
                <w:kern w:val="0"/>
                <w:sz w:val="24"/>
              </w:rPr>
              <w:t>显著改善区域生态</w:t>
            </w:r>
            <w:r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  <w:t>：显著减少污染物排放入河，提升了区域水体和生态环境质量。处理后的中水还可作为景观河道补充用水，实现了水资源的循环利用</w:t>
            </w:r>
          </w:p>
          <w:p w14:paraId="0BE13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shd w:val="clear"/>
            <w:vAlign w:val="center"/>
          </w:tcPr>
          <w:p w14:paraId="6DDE0120">
            <w:pPr>
              <w:widowControl w:val="0"/>
              <w:rPr>
                <w:rFonts w:hint="eastAsia"/>
                <w:color w:val="auto"/>
              </w:rPr>
            </w:pPr>
            <w:r>
              <w:rPr>
                <w:color w:val="auto"/>
              </w:rPr>
              <w:drawing>
                <wp:inline distT="0" distB="0" distL="0" distR="0">
                  <wp:extent cx="1213485" cy="910590"/>
                  <wp:effectExtent l="0" t="0" r="571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21348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E1845">
            <w:pPr>
              <w:widowControl w:val="0"/>
              <w:rPr>
                <w:rFonts w:ascii="Times New Roman" w:hAnsi="Times New Roman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drawing>
                <wp:inline distT="0" distB="0" distL="0" distR="0">
                  <wp:extent cx="1213485" cy="910590"/>
                  <wp:effectExtent l="0" t="0" r="5715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  <w:shd w:val="clear"/>
            <w:vAlign w:val="center"/>
          </w:tcPr>
          <w:p w14:paraId="70A6FA54">
            <w:pPr>
              <w:widowControl w:val="0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图1：</w:t>
            </w:r>
            <w:r>
              <w:rPr>
                <w:rFonts w:ascii="Times New Roman" w:hAnsi="Times New Roman"/>
                <w:color w:val="auto"/>
                <w:sz w:val="24"/>
              </w:rPr>
              <w:t>变配电间外立面</w:t>
            </w:r>
          </w:p>
          <w:p w14:paraId="154F4B8C">
            <w:pPr>
              <w:widowControl w:val="0"/>
              <w:jc w:val="both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</w:p>
          <w:p w14:paraId="7E013D52">
            <w:pPr>
              <w:widowControl w:val="0"/>
              <w:jc w:val="both"/>
              <w:rPr>
                <w:rFonts w:ascii="Times New Roman" w:hAnsi="Times New Roman"/>
                <w:snapToGrid w:val="0"/>
                <w:color w:val="auto"/>
                <w:kern w:val="0"/>
                <w:sz w:val="24"/>
              </w:rPr>
            </w:pPr>
          </w:p>
          <w:p w14:paraId="508AA571">
            <w:pPr>
              <w:widowControl w:val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图2：</w:t>
            </w:r>
            <w:r>
              <w:rPr>
                <w:rFonts w:ascii="Times New Roman" w:hAnsi="Times New Roman"/>
                <w:color w:val="auto"/>
                <w:sz w:val="24"/>
              </w:rPr>
              <w:t>细格栅曝气沉砂池外立面</w:t>
            </w:r>
          </w:p>
          <w:p w14:paraId="0498BDF1">
            <w:pPr>
              <w:widowControl w:val="0"/>
              <w:rPr>
                <w:rFonts w:ascii="Times New Roman" w:hAnsi="Times New Roman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 w14:paraId="77FBA13E">
      <w:pPr>
        <w:jc w:val="both"/>
        <w:rPr>
          <w:kern w:val="0"/>
        </w:rPr>
      </w:pPr>
    </w:p>
    <w:sectPr>
      <w:pgSz w:w="16838" w:h="11906" w:orient="landscape"/>
      <w:pgMar w:top="612" w:right="986" w:bottom="61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lMmVhZWI0MDdkODY4NDkyZGQ0MTMxNGNmZTIyNmUifQ=="/>
  </w:docVars>
  <w:rsids>
    <w:rsidRoot w:val="0E5A1EB4"/>
    <w:rsid w:val="00015922"/>
    <w:rsid w:val="000509BA"/>
    <w:rsid w:val="00054327"/>
    <w:rsid w:val="00067A6B"/>
    <w:rsid w:val="000C1E2E"/>
    <w:rsid w:val="00103A88"/>
    <w:rsid w:val="00103EEA"/>
    <w:rsid w:val="00124FF2"/>
    <w:rsid w:val="001D71F5"/>
    <w:rsid w:val="001E735F"/>
    <w:rsid w:val="001F3DCA"/>
    <w:rsid w:val="00202382"/>
    <w:rsid w:val="002265F2"/>
    <w:rsid w:val="00260A21"/>
    <w:rsid w:val="002B1A86"/>
    <w:rsid w:val="002C04D2"/>
    <w:rsid w:val="002E20FB"/>
    <w:rsid w:val="002F48BC"/>
    <w:rsid w:val="00315D36"/>
    <w:rsid w:val="00326060"/>
    <w:rsid w:val="003318AA"/>
    <w:rsid w:val="00375B57"/>
    <w:rsid w:val="00385DA6"/>
    <w:rsid w:val="003A481A"/>
    <w:rsid w:val="003D2246"/>
    <w:rsid w:val="003F7D01"/>
    <w:rsid w:val="00463658"/>
    <w:rsid w:val="004D5099"/>
    <w:rsid w:val="005166F0"/>
    <w:rsid w:val="005616D4"/>
    <w:rsid w:val="00573839"/>
    <w:rsid w:val="005F606D"/>
    <w:rsid w:val="0065377F"/>
    <w:rsid w:val="00695DB7"/>
    <w:rsid w:val="006D2DEC"/>
    <w:rsid w:val="006F6E14"/>
    <w:rsid w:val="007022DD"/>
    <w:rsid w:val="00704564"/>
    <w:rsid w:val="00720CD5"/>
    <w:rsid w:val="00767C46"/>
    <w:rsid w:val="00796431"/>
    <w:rsid w:val="007B7939"/>
    <w:rsid w:val="007D48B7"/>
    <w:rsid w:val="007F2A98"/>
    <w:rsid w:val="007F76F8"/>
    <w:rsid w:val="00834977"/>
    <w:rsid w:val="008E1474"/>
    <w:rsid w:val="00943ED3"/>
    <w:rsid w:val="00A32D79"/>
    <w:rsid w:val="00A61216"/>
    <w:rsid w:val="00A645EB"/>
    <w:rsid w:val="00AA3D67"/>
    <w:rsid w:val="00B05E1F"/>
    <w:rsid w:val="00B102AD"/>
    <w:rsid w:val="00B94560"/>
    <w:rsid w:val="00B95809"/>
    <w:rsid w:val="00BB1F66"/>
    <w:rsid w:val="00BB6C0D"/>
    <w:rsid w:val="00BC66E7"/>
    <w:rsid w:val="00BD2727"/>
    <w:rsid w:val="00C07136"/>
    <w:rsid w:val="00C12016"/>
    <w:rsid w:val="00C23246"/>
    <w:rsid w:val="00CB358A"/>
    <w:rsid w:val="00CC370C"/>
    <w:rsid w:val="00CE1E45"/>
    <w:rsid w:val="00D448AD"/>
    <w:rsid w:val="00D80DD6"/>
    <w:rsid w:val="00D875B3"/>
    <w:rsid w:val="00DE2671"/>
    <w:rsid w:val="00E11DE3"/>
    <w:rsid w:val="00EE1143"/>
    <w:rsid w:val="00EE3AC3"/>
    <w:rsid w:val="00F22122"/>
    <w:rsid w:val="00F864E1"/>
    <w:rsid w:val="00FB7B1B"/>
    <w:rsid w:val="032E00A4"/>
    <w:rsid w:val="03FA60FE"/>
    <w:rsid w:val="06FF3C31"/>
    <w:rsid w:val="0E5A1EB4"/>
    <w:rsid w:val="18DF1B36"/>
    <w:rsid w:val="38E12F30"/>
    <w:rsid w:val="3EDB2624"/>
    <w:rsid w:val="47E12387"/>
    <w:rsid w:val="5D5317E7"/>
    <w:rsid w:val="60935185"/>
    <w:rsid w:val="625A569F"/>
    <w:rsid w:val="6460535D"/>
    <w:rsid w:val="66E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</w:pPr>
    <w:rPr>
      <w:rFonts w:ascii="宋体" w:hAnsi="宋体" w:eastAsia="宋体" w:cs="宋体"/>
      <w:bCs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24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link w:val="19"/>
    <w:qFormat/>
    <w:uiPriority w:val="0"/>
    <w:pPr>
      <w:spacing w:after="120"/>
    </w:pPr>
  </w:style>
  <w:style w:type="paragraph" w:styleId="5">
    <w:name w:val="Plain Text"/>
    <w:basedOn w:val="1"/>
    <w:qFormat/>
    <w:uiPriority w:val="0"/>
  </w:style>
  <w:style w:type="paragraph" w:styleId="6">
    <w:name w:val="Body Text Indent 2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/>
      <w:sz w:val="24"/>
    </w:r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首行缩进正文"/>
    <w:autoRedefine/>
    <w:qFormat/>
    <w:uiPriority w:val="99"/>
    <w:pPr>
      <w:widowControl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宋体"/>
      <w:kern w:val="2"/>
      <w:sz w:val="24"/>
      <w:szCs w:val="24"/>
      <w:lang w:val="en-US" w:eastAsia="zh-CN" w:bidi="ar-SA"/>
    </w:rPr>
  </w:style>
  <w:style w:type="character" w:customStyle="1" w:styleId="16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 字符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证文"/>
    <w:basedOn w:val="1"/>
    <w:qFormat/>
    <w:uiPriority w:val="0"/>
    <w:pPr>
      <w:spacing w:line="360" w:lineRule="auto"/>
    </w:pPr>
  </w:style>
  <w:style w:type="paragraph" w:customStyle="1" w:styleId="22">
    <w:name w:val="正文2"/>
    <w:basedOn w:val="1"/>
    <w:next w:val="1"/>
    <w:qFormat/>
    <w:uiPriority w:val="0"/>
    <w:pPr>
      <w:snapToGrid w:val="0"/>
      <w:spacing w:line="520" w:lineRule="exact"/>
      <w:ind w:firstLine="200"/>
      <w:jc w:val="left"/>
      <w:outlineLvl w:val="3"/>
    </w:pPr>
    <w:rPr>
      <w:kern w:val="0"/>
    </w:rPr>
  </w:style>
  <w:style w:type="paragraph" w:customStyle="1" w:styleId="23">
    <w:name w:val="样式1"/>
    <w:basedOn w:val="1"/>
    <w:next w:val="2"/>
    <w:qFormat/>
    <w:uiPriority w:val="0"/>
    <w:pPr>
      <w:widowControl w:val="0"/>
      <w:spacing w:after="160" w:line="312" w:lineRule="auto"/>
      <w:jc w:val="left"/>
    </w:pPr>
    <w:rPr>
      <w:rFonts w:asciiTheme="minorHAnsi" w:hAnsiTheme="minorHAnsi" w:eastAsiaTheme="minorEastAsia" w:cstheme="minorBidi"/>
      <w:bCs w:val="0"/>
      <w:sz w:val="28"/>
    </w:rPr>
  </w:style>
  <w:style w:type="character" w:customStyle="1" w:styleId="24">
    <w:name w:val="标题 4 字符"/>
    <w:basedOn w:val="13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2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604E8-4797-494A-80AA-B1BF72EEE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2321</Words>
  <Characters>13235</Characters>
  <Lines>110</Lines>
  <Paragraphs>31</Paragraphs>
  <TotalTime>0</TotalTime>
  <ScaleCrop>false</ScaleCrop>
  <LinksUpToDate>false</LinksUpToDate>
  <CharactersWithSpaces>15525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2026-04-30T06:46:00Z</dcterms:created>
  <dc:creator>198----0168</dc:creator>
  <cp:lastModifiedBy>Administrator</cp:lastModifiedBy>
  <cp:lastPrinted>2026-04-29T07:46:00Z</cp:lastPrinted>
  <dcterms:modified xsi:type="dcterms:W3CDTF">2026-05-06T06:51:27Z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D981A468457F4B35A3BD0B5F0EF505EE_13</vt:lpwstr>
  </property>
  <property fmtid="{D5CDD505-2E9C-101B-9397-08002B2CF9AE}" pid="4" name="KSOTemplateDocerSaveRecord">
    <vt:lpwstr>eyJoZGlkIjoiYTkxMTEyYTg5NTU0ZTJlOWZlZjFlMWJiNTI5ZDcwNjUiLCJ1c2VySWQiOiIzNTkwMTY4NzAifQ==</vt:lpwstr>
  </property>
</Properties>
</file>