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val="0"/>
        <w:spacing w:line="980" w:lineRule="exact"/>
        <w:jc w:val="center"/>
        <w:rPr>
          <w:rFonts w:ascii="方正小标宋简体" w:eastAsia="方正小标宋简体"/>
          <w:color w:val="FF0000"/>
          <w:spacing w:val="40"/>
          <w:w w:val="60"/>
          <w:sz w:val="96"/>
          <w:szCs w:val="96"/>
        </w:rPr>
      </w:pPr>
    </w:p>
    <w:p>
      <w:pPr>
        <w:snapToGrid w:val="0"/>
        <w:jc w:val="center"/>
        <w:rPr>
          <w:rFonts w:ascii="方正小标宋简体" w:eastAsia="方正小标宋简体"/>
          <w:color w:val="FF0000"/>
          <w:spacing w:val="30"/>
          <w:w w:val="60"/>
          <w:sz w:val="96"/>
          <w:szCs w:val="96"/>
        </w:rPr>
      </w:pPr>
      <w:r>
        <w:rPr>
          <w:rFonts w:hint="eastAsia" w:ascii="方正小标宋简体" w:eastAsia="方正小标宋简体"/>
          <w:color w:val="FF0000"/>
          <w:spacing w:val="30"/>
          <w:w w:val="60"/>
          <w:sz w:val="96"/>
          <w:szCs w:val="96"/>
        </w:rPr>
        <w:t>连云港市住房和城乡</w:t>
      </w:r>
      <w:r>
        <w:rPr>
          <w:rFonts w:ascii="方正小标宋简体" w:eastAsia="方正小标宋简体"/>
          <w:color w:val="FF0000"/>
          <w:spacing w:val="30"/>
          <w:w w:val="60"/>
          <w:sz w:val="96"/>
          <w:szCs w:val="96"/>
        </w:rPr>
        <w:t>建设局</w:t>
      </w:r>
      <w:r>
        <w:rPr>
          <w:rFonts w:hint="eastAsia" w:ascii="方正小标宋简体" w:eastAsia="方正小标宋简体"/>
          <w:color w:val="FF0000"/>
          <w:spacing w:val="30"/>
          <w:w w:val="60"/>
          <w:sz w:val="96"/>
          <w:szCs w:val="96"/>
        </w:rPr>
        <w:t>文件</w:t>
      </w:r>
    </w:p>
    <w:p>
      <w:pPr>
        <w:snapToGrid w:val="0"/>
        <w:spacing w:line="480" w:lineRule="exact"/>
        <w:jc w:val="center"/>
        <w:rPr>
          <w:rFonts w:ascii="仿宋_GB2312" w:hAnsi="Batang" w:eastAsia="仿宋_GB2312"/>
          <w:sz w:val="40"/>
          <w:szCs w:val="40"/>
        </w:rPr>
      </w:pPr>
    </w:p>
    <w:p>
      <w:pPr>
        <w:snapToGrid w:val="0"/>
        <w:spacing w:line="480" w:lineRule="exact"/>
        <w:jc w:val="center"/>
        <w:rPr>
          <w:rFonts w:ascii="仿宋_GB2312" w:hAnsi="Batang" w:eastAsia="仿宋_GB2312"/>
          <w:sz w:val="40"/>
          <w:szCs w:val="40"/>
        </w:rPr>
      </w:pPr>
    </w:p>
    <w:p>
      <w:pPr>
        <w:tabs>
          <w:tab w:val="left" w:pos="10190"/>
        </w:tabs>
        <w:snapToGrid w:val="0"/>
        <w:spacing w:beforeLines="10" w:line="460" w:lineRule="exact"/>
        <w:ind w:firstLine="305" w:firstLineChars="98"/>
        <w:jc w:val="center"/>
        <w:rPr>
          <w:rFonts w:ascii="Times New Roman" w:hAnsi="Times New Roman" w:eastAsia="仿宋_GB2312"/>
          <w:sz w:val="32"/>
          <w:szCs w:val="32"/>
        </w:rPr>
      </w:pPr>
      <w:bookmarkStart w:id="0" w:name="文号"/>
      <w:r>
        <w:rPr>
          <w:rFonts w:hint="eastAsia" w:ascii="Times New Roman" w:hAnsi="Times New Roman" w:eastAsia="仿宋_GB2312"/>
          <w:sz w:val="32"/>
          <w:szCs w:val="32"/>
        </w:rPr>
        <w:t>连建科〔2021〕323号</w:t>
      </w:r>
      <w:bookmarkEnd w:id="0"/>
    </w:p>
    <w:p>
      <w:pPr>
        <w:snapToGrid w:val="0"/>
        <w:spacing w:beforeLines="10" w:line="460" w:lineRule="exact"/>
        <w:rPr>
          <w:rFonts w:ascii="仿宋_GB2312" w:hAnsi="Batang" w:eastAsia="仿宋_GB2312"/>
          <w:sz w:val="44"/>
        </w:rPr>
      </w:pPr>
      <w:r>
        <w:rPr>
          <w:rFonts w:ascii="仿宋_GB2312" w:hAnsi="Batang" w:eastAsia="仿宋_GB2312"/>
          <w:sz w:val="44"/>
          <w:szCs w:val="44"/>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98425</wp:posOffset>
                </wp:positionV>
                <wp:extent cx="5572125" cy="635"/>
                <wp:effectExtent l="0" t="13970" r="9525" b="23495"/>
                <wp:wrapNone/>
                <wp:docPr id="1" name="直线 20"/>
                <wp:cNvGraphicFramePr/>
                <a:graphic xmlns:a="http://schemas.openxmlformats.org/drawingml/2006/main">
                  <a:graphicData uri="http://schemas.microsoft.com/office/word/2010/wordprocessingShape">
                    <wps:wsp>
                      <wps:cNvCnPr/>
                      <wps:spPr>
                        <a:xfrm>
                          <a:off x="0" y="0"/>
                          <a:ext cx="5572125" cy="635"/>
                        </a:xfrm>
                        <a:prstGeom prst="line">
                          <a:avLst/>
                        </a:prstGeom>
                        <a:ln w="28575" cap="flat" cmpd="sng">
                          <a:solidFill>
                            <a:srgbClr val="FF0000"/>
                          </a:solidFill>
                          <a:prstDash val="solid"/>
                          <a:headEnd type="none" w="med" len="med"/>
                          <a:tailEnd type="none" w="med" len="med"/>
                        </a:ln>
                        <a:effectLst/>
                      </wps:spPr>
                      <wps:bodyPr upright="1"/>
                    </wps:wsp>
                  </a:graphicData>
                </a:graphic>
              </wp:anchor>
            </w:drawing>
          </mc:Choice>
          <mc:Fallback>
            <w:pict>
              <v:line id="直线 20" o:spid="_x0000_s1026" o:spt="20" style="position:absolute;left:0pt;margin-left:2.25pt;margin-top:7.75pt;height:0.05pt;width:438.75pt;z-index:251659264;mso-width-relative:page;mso-height-relative:page;" filled="f" stroked="t" coordsize="21600,21600" o:gfxdata="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EBUJ4XVAAAABwEAAA8AAAAAAAAAAQAgAAAAIgAAAGRycy9kb3ducmV2LnhtbFBLAQIUABQAAAAI&#10;AIdO4kDsq/tp8AEAAO0DAAAOAAAAAAAAAAEAIAAAACQBAABkcnMvZTJvRG9jLnhtbFBLBQYAAAAA&#10;BgAGAFkBAACGBQAAAAA=&#10;">
                <v:fill on="f" focussize="0,0"/>
                <v:stroke weight="2.25pt" color="#FF0000" joinstyle="round"/>
                <v:imagedata o:title=""/>
                <o:lock v:ext="edit" aspectratio="f"/>
              </v:line>
            </w:pict>
          </mc:Fallback>
        </mc:AlternateContent>
      </w:r>
    </w:p>
    <w:p>
      <w:pPr>
        <w:spacing w:line="560" w:lineRule="exact"/>
        <w:jc w:val="center"/>
        <w:rPr>
          <w:rFonts w:ascii="方正小标宋简体" w:hAnsi="黑体" w:eastAsia="方正小标宋简体"/>
          <w:sz w:val="44"/>
          <w:szCs w:val="44"/>
        </w:rPr>
      </w:pPr>
      <w:bookmarkStart w:id="1" w:name="附件"/>
      <w:bookmarkEnd w:id="1"/>
    </w:p>
    <w:p>
      <w:pPr>
        <w:spacing w:line="56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连云港市住房和城乡建设局</w:t>
      </w:r>
    </w:p>
    <w:p>
      <w:pPr>
        <w:spacing w:line="56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关于加强全市绿色建筑和建筑节能信息</w:t>
      </w:r>
    </w:p>
    <w:p>
      <w:pPr>
        <w:spacing w:line="560" w:lineRule="exact"/>
        <w:jc w:val="center"/>
        <w:rPr>
          <w:rFonts w:ascii="方正小标宋简体" w:hAnsi="黑体" w:eastAsia="方正小标宋简体"/>
          <w:sz w:val="44"/>
          <w:szCs w:val="44"/>
        </w:rPr>
      </w:pPr>
      <w:r>
        <w:rPr>
          <w:rFonts w:hint="eastAsia" w:ascii="方正小标宋简体" w:hAnsi="黑体" w:eastAsia="方正小标宋简体"/>
          <w:sz w:val="44"/>
          <w:szCs w:val="44"/>
        </w:rPr>
        <w:t>公示管理的通知</w:t>
      </w:r>
    </w:p>
    <w:p>
      <w:pPr>
        <w:spacing w:line="560" w:lineRule="exact"/>
        <w:jc w:val="center"/>
        <w:rPr>
          <w:rFonts w:ascii="黑体" w:hAnsi="黑体" w:eastAsia="黑体"/>
          <w:sz w:val="44"/>
          <w:szCs w:val="44"/>
        </w:rPr>
      </w:pPr>
    </w:p>
    <w:p>
      <w:pPr>
        <w:spacing w:line="560" w:lineRule="exact"/>
        <w:rPr>
          <w:rFonts w:ascii="Times New Roman" w:hAnsi="Times New Roman" w:eastAsia="仿宋_GB2312"/>
          <w:sz w:val="32"/>
          <w:szCs w:val="32"/>
        </w:rPr>
      </w:pPr>
      <w:r>
        <w:rPr>
          <w:rFonts w:ascii="Times New Roman" w:hAnsi="Times New Roman" w:eastAsia="仿宋_GB2312"/>
          <w:sz w:val="32"/>
          <w:szCs w:val="32"/>
        </w:rPr>
        <w:t>各县区（功能板块）住建局：</w:t>
      </w:r>
    </w:p>
    <w:p>
      <w:pPr>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为发挥社会公众监督作用，加强民用建筑建筑节能监督管理，推动我市绿色建筑高质量发展。根据《中华人民共和国节约能源法》《民用建筑节能条例》《民用建筑节能信息公示办法》及《江苏省绿色建筑发展条例》的有关规定，经研究，现将关于加强全市绿色建筑和建筑节能信息公示管理的要求通知如下：</w:t>
      </w:r>
    </w:p>
    <w:p>
      <w:pPr>
        <w:spacing w:line="560" w:lineRule="exact"/>
        <w:ind w:firstLine="640"/>
        <w:rPr>
          <w:rFonts w:ascii="黑体" w:hAnsi="黑体" w:eastAsia="黑体"/>
          <w:sz w:val="32"/>
          <w:szCs w:val="32"/>
        </w:rPr>
      </w:pPr>
      <w:r>
        <w:rPr>
          <w:rFonts w:ascii="黑体" w:hAnsi="黑体" w:eastAsia="黑体"/>
          <w:sz w:val="32"/>
          <w:szCs w:val="32"/>
        </w:rPr>
        <w:t>一、应用范围</w:t>
      </w:r>
    </w:p>
    <w:p>
      <w:pPr>
        <w:spacing w:line="560" w:lineRule="exact"/>
        <w:ind w:firstLine="640"/>
        <w:rPr>
          <w:rFonts w:ascii="Times New Roman" w:hAnsi="Times New Roman" w:eastAsia="仿宋_GB2312"/>
          <w:sz w:val="32"/>
          <w:szCs w:val="32"/>
        </w:rPr>
      </w:pPr>
      <w:r>
        <w:rPr>
          <w:rFonts w:ascii="Times New Roman" w:hAnsi="Times New Roman" w:eastAsia="仿宋_GB2312"/>
          <w:sz w:val="32"/>
          <w:szCs w:val="32"/>
        </w:rPr>
        <w:t>全市城镇行政区域内新建、改建、扩建和进行节能改造的民用建筑，建设单位都应当公示建筑节能信息，房地产开发企业应当在商品房买卖合同和住宅质量保证书、住宅使用书中载明销售房屋的绿色建筑等级及技术措施。</w:t>
      </w:r>
    </w:p>
    <w:p>
      <w:pPr>
        <w:spacing w:line="560" w:lineRule="exact"/>
        <w:ind w:firstLine="640"/>
        <w:rPr>
          <w:rFonts w:ascii="黑体" w:hAnsi="黑体" w:eastAsia="黑体"/>
          <w:sz w:val="32"/>
          <w:szCs w:val="32"/>
        </w:rPr>
      </w:pPr>
      <w:r>
        <w:rPr>
          <w:rFonts w:ascii="黑体" w:hAnsi="黑体" w:eastAsia="黑体"/>
          <w:sz w:val="32"/>
          <w:szCs w:val="32"/>
        </w:rPr>
        <w:t>二、公示内容及要求</w:t>
      </w:r>
    </w:p>
    <w:p>
      <w:pPr>
        <w:widowControl/>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建筑节能信息公示内容包括项目基本信息、节能性能、节能措施、保温工程的保修期等相关情况。建设单位应在施工、销售现场张贴《连云港市建筑节能信息公示牌》（详见附件1），并在房屋买卖合同、住宅质量保证书和使用说明书中载明（详见附件2），对民用建筑绿色建筑节能信息公示内容的真实性承担责任。其中，施工现场公示时限是：进场施工开始之日起至工程竣工验收后。销售现场公示时限是：销售之日起到销售结束。</w:t>
      </w:r>
    </w:p>
    <w:p>
      <w:pPr>
        <w:widowControl/>
        <w:spacing w:line="560" w:lineRule="exact"/>
        <w:rPr>
          <w:rFonts w:ascii="黑体" w:hAnsi="黑体" w:eastAsia="黑体"/>
          <w:sz w:val="32"/>
          <w:szCs w:val="32"/>
        </w:rPr>
      </w:pPr>
      <w:r>
        <w:rPr>
          <w:rFonts w:ascii="Times New Roman" w:hAnsi="Times New Roman" w:eastAsia="仿宋_GB2312"/>
          <w:b/>
          <w:sz w:val="32"/>
          <w:szCs w:val="32"/>
        </w:rPr>
        <w:t>　　</w:t>
      </w:r>
      <w:r>
        <w:rPr>
          <w:rFonts w:ascii="黑体" w:hAnsi="黑体" w:eastAsia="黑体"/>
          <w:sz w:val="32"/>
          <w:szCs w:val="32"/>
        </w:rPr>
        <w:t>三、加强公示监督管理</w:t>
      </w:r>
    </w:p>
    <w:p>
      <w:pPr>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建设单位公示的民用建筑节能性能和节能措施，以及房地产开发企业公示的商品房买卖合同和住宅质量保证书、住宅使用书中绿色建筑等级及技术措施应与审查通过的施工图设计文件相一致，公示内容必须客观真实，不得弄虚作假。</w:t>
      </w:r>
    </w:p>
    <w:p>
      <w:pPr>
        <w:widowControl/>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各县区（功能板块）住建局要对辖区内民用建筑工程的建筑节能公示信息进行检查监督管理。对未按要求在施工现场、房地产开发项目销售现场公示建筑节能信息，以及公示的节能信息与实际不符的，应当及时予以纠正，并责令其限期改正，逾期未改正的，按照《节约能源法》及《江苏省绿色建筑发展条例》的相关规定予以处罚，对整改不符合要求的不予通过建筑节能专项验收。</w:t>
      </w:r>
    </w:p>
    <w:p>
      <w:pPr>
        <w:widowControl/>
        <w:spacing w:line="560" w:lineRule="exact"/>
        <w:ind w:firstLine="645"/>
        <w:rPr>
          <w:rFonts w:ascii="Times New Roman" w:hAnsi="Times New Roman" w:eastAsia="仿宋_GB2312"/>
          <w:sz w:val="32"/>
          <w:szCs w:val="32"/>
        </w:rPr>
      </w:pPr>
      <w:r>
        <w:rPr>
          <w:rFonts w:ascii="Times New Roman" w:hAnsi="Times New Roman" w:eastAsia="仿宋_GB2312"/>
          <w:sz w:val="32"/>
          <w:szCs w:val="32"/>
        </w:rPr>
        <w:t>本通知自文件发布之日起实施。</w:t>
      </w:r>
    </w:p>
    <w:p>
      <w:pPr>
        <w:spacing w:line="560" w:lineRule="exact"/>
        <w:ind w:firstLine="610" w:firstLineChars="196"/>
        <w:rPr>
          <w:rFonts w:ascii="Times New Roman" w:hAnsi="Times New Roman" w:eastAsia="仿宋_GB2312"/>
          <w:sz w:val="32"/>
          <w:szCs w:val="32"/>
        </w:rPr>
      </w:pPr>
    </w:p>
    <w:p>
      <w:pPr>
        <w:spacing w:line="560" w:lineRule="exact"/>
        <w:ind w:firstLine="610" w:firstLineChars="196"/>
        <w:rPr>
          <w:rFonts w:ascii="Times New Roman" w:hAnsi="Times New Roman" w:eastAsia="仿宋_GB2312"/>
          <w:sz w:val="32"/>
          <w:szCs w:val="32"/>
        </w:rPr>
      </w:pPr>
      <w:r>
        <w:rPr>
          <w:rFonts w:ascii="Times New Roman" w:hAnsi="Times New Roman" w:eastAsia="仿宋_GB2312"/>
          <w:sz w:val="32"/>
          <w:szCs w:val="32"/>
        </w:rPr>
        <w:t>附件：1</w:t>
      </w:r>
      <w:r>
        <w:rPr>
          <w:rFonts w:hint="eastAsia" w:ascii="Times New Roman" w:hAnsi="Times New Roman" w:eastAsia="仿宋_GB2312"/>
          <w:sz w:val="32"/>
          <w:szCs w:val="32"/>
        </w:rPr>
        <w:t>.</w:t>
      </w:r>
      <w:r>
        <w:rPr>
          <w:rFonts w:ascii="Times New Roman" w:hAnsi="Times New Roman" w:eastAsia="仿宋_GB2312"/>
          <w:sz w:val="32"/>
          <w:szCs w:val="32"/>
        </w:rPr>
        <w:t>连云港市建筑节能信息公示牌</w:t>
      </w:r>
    </w:p>
    <w:p>
      <w:pPr>
        <w:spacing w:line="560" w:lineRule="exact"/>
        <w:ind w:left="1803" w:leftChars="764" w:hanging="268" w:hangingChars="86"/>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商品房买卖合同、住宅质量保证书和使用说明书中载明的内容</w:t>
      </w:r>
    </w:p>
    <w:p>
      <w:pPr>
        <w:spacing w:line="560" w:lineRule="exact"/>
        <w:ind w:firstLine="933" w:firstLineChars="300"/>
        <w:rPr>
          <w:rFonts w:ascii="Times New Roman" w:hAnsi="Times New Roman" w:eastAsia="仿宋_GB2312"/>
          <w:sz w:val="32"/>
          <w:szCs w:val="32"/>
        </w:rPr>
      </w:pPr>
    </w:p>
    <w:p>
      <w:pPr>
        <w:spacing w:line="560" w:lineRule="exact"/>
        <w:rPr>
          <w:rFonts w:ascii="Times New Roman" w:hAnsi="Times New Roman" w:eastAsia="仿宋_GB2312"/>
          <w:sz w:val="32"/>
          <w:szCs w:val="32"/>
        </w:rPr>
      </w:pPr>
    </w:p>
    <w:p>
      <w:pPr>
        <w:spacing w:line="560" w:lineRule="exact"/>
        <w:rPr>
          <w:rFonts w:ascii="Times New Roman" w:hAnsi="Times New Roman" w:eastAsia="仿宋_GB2312"/>
          <w:sz w:val="32"/>
          <w:szCs w:val="32"/>
        </w:rPr>
      </w:pPr>
    </w:p>
    <w:p>
      <w:pPr>
        <w:spacing w:line="560" w:lineRule="exact"/>
        <w:ind w:firstLine="3658" w:firstLineChars="1176"/>
        <w:rPr>
          <w:rFonts w:ascii="Times New Roman" w:hAnsi="Times New Roman" w:eastAsia="仿宋_GB2312"/>
          <w:sz w:val="32"/>
          <w:szCs w:val="32"/>
        </w:rPr>
      </w:pPr>
      <w:r>
        <w:rPr>
          <w:rFonts w:ascii="Times New Roman" w:hAnsi="Times New Roman" w:eastAsia="仿宋_GB2312"/>
          <w:sz w:val="32"/>
          <w:szCs w:val="32"/>
        </w:rPr>
        <w:t>连云港市住房和城乡建设局</w:t>
      </w:r>
    </w:p>
    <w:p>
      <w:pPr>
        <w:spacing w:line="560" w:lineRule="exact"/>
        <w:ind w:firstLine="4267" w:firstLineChars="1372"/>
        <w:rPr>
          <w:rFonts w:ascii="Times New Roman" w:hAnsi="Times New Roman" w:eastAsia="仿宋_GB2312"/>
          <w:sz w:val="32"/>
          <w:szCs w:val="32"/>
        </w:rPr>
      </w:pPr>
      <w:r>
        <w:rPr>
          <w:rFonts w:ascii="Times New Roman" w:hAnsi="Times New Roman" w:eastAsia="仿宋_GB2312"/>
          <w:sz w:val="32"/>
          <w:szCs w:val="32"/>
        </w:rPr>
        <w:t>2021年9月26日</w:t>
      </w:r>
    </w:p>
    <w:p>
      <w:pPr>
        <w:spacing w:line="560" w:lineRule="exact"/>
        <w:rPr>
          <w:rFonts w:ascii="Times New Roman" w:hAnsi="Times New Roman" w:eastAsia="仿宋_GB2312"/>
          <w:sz w:val="32"/>
          <w:szCs w:val="32"/>
        </w:rPr>
      </w:pPr>
      <w:r>
        <w:rPr>
          <w:rFonts w:hint="eastAsia" w:ascii="Times New Roman" w:hAnsi="Times New Roman" w:eastAsia="仿宋_GB2312"/>
          <w:sz w:val="32"/>
          <w:szCs w:val="32"/>
        </w:rPr>
        <w:t xml:space="preserve">（此件公开发布）  </w:t>
      </w:r>
    </w:p>
    <w:p>
      <w:pPr>
        <w:spacing w:line="560" w:lineRule="exact"/>
        <w:rPr>
          <w:rFonts w:ascii="Times New Roman" w:hAnsi="Times New Roman" w:eastAsia="仿宋_GB2312"/>
          <w:sz w:val="32"/>
          <w:szCs w:val="32"/>
        </w:rPr>
        <w:sectPr>
          <w:headerReference r:id="rId3" w:type="default"/>
          <w:footerReference r:id="rId5" w:type="default"/>
          <w:headerReference r:id="rId4" w:type="even"/>
          <w:footerReference r:id="rId6" w:type="even"/>
          <w:pgSz w:w="11906" w:h="16838"/>
          <w:pgMar w:top="2098" w:right="1474" w:bottom="1985" w:left="1588" w:header="851" w:footer="992" w:gutter="0"/>
          <w:pgNumType w:fmt="numberInDash"/>
          <w:cols w:space="720" w:num="1"/>
          <w:docGrid w:type="linesAndChars" w:linePitch="481" w:charSpace="-1844"/>
        </w:sectPr>
      </w:pPr>
    </w:p>
    <w:p>
      <w:pPr>
        <w:rPr>
          <w:rFonts w:ascii="Times New Roman" w:hAnsi="Times New Roman" w:eastAsia="黑体"/>
          <w:sz w:val="32"/>
          <w:szCs w:val="32"/>
        </w:rPr>
      </w:pPr>
      <w:r>
        <w:rPr>
          <w:rFonts w:ascii="Times New Roman" w:hAnsi="黑体" w:eastAsia="黑体"/>
          <w:sz w:val="32"/>
          <w:szCs w:val="32"/>
        </w:rPr>
        <w:t>附件</w:t>
      </w:r>
      <w:r>
        <w:rPr>
          <w:rFonts w:ascii="Times New Roman" w:hAnsi="Times New Roman" w:eastAsia="黑体"/>
          <w:sz w:val="32"/>
          <w:szCs w:val="32"/>
        </w:rPr>
        <w:t>1</w:t>
      </w:r>
    </w:p>
    <w:p>
      <w:pPr>
        <w:jc w:val="center"/>
        <w:rPr>
          <w:rFonts w:ascii="方正小标宋简体" w:hAnsi="黑体" w:eastAsia="方正小标宋简体"/>
          <w:sz w:val="36"/>
          <w:szCs w:val="36"/>
        </w:rPr>
      </w:pPr>
      <w:r>
        <w:rPr>
          <w:rFonts w:hint="eastAsia" w:ascii="方正小标宋简体" w:hAnsi="黑体" w:eastAsia="方正小标宋简体"/>
          <w:sz w:val="36"/>
          <w:szCs w:val="36"/>
        </w:rPr>
        <w:t>连云港市建筑节能信息公示牌</w:t>
      </w:r>
    </w:p>
    <w:tbl>
      <w:tblPr>
        <w:tblStyle w:val="8"/>
        <w:tblW w:w="893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5"/>
        <w:gridCol w:w="1254"/>
        <w:gridCol w:w="500"/>
        <w:gridCol w:w="1201"/>
        <w:gridCol w:w="1185"/>
        <w:gridCol w:w="516"/>
        <w:gridCol w:w="564"/>
        <w:gridCol w:w="570"/>
        <w:gridCol w:w="6"/>
        <w:gridCol w:w="992"/>
        <w:gridCol w:w="96"/>
        <w:gridCol w:w="40"/>
        <w:gridCol w:w="851"/>
        <w:gridCol w:w="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2909"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项目名称/单体建筑名称</w:t>
            </w:r>
          </w:p>
        </w:tc>
        <w:tc>
          <w:tcPr>
            <w:tcW w:w="6027" w:type="dxa"/>
            <w:gridSpan w:val="11"/>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2909"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建设单位</w:t>
            </w:r>
          </w:p>
        </w:tc>
        <w:tc>
          <w:tcPr>
            <w:tcW w:w="6027" w:type="dxa"/>
            <w:gridSpan w:val="11"/>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trPr>
        <w:tc>
          <w:tcPr>
            <w:tcW w:w="1155" w:type="dxa"/>
            <w:vMerge w:val="restart"/>
            <w:vAlign w:val="center"/>
          </w:tcPr>
          <w:p>
            <w:pPr>
              <w:spacing w:line="380" w:lineRule="exact"/>
              <w:jc w:val="center"/>
              <w:rPr>
                <w:rFonts w:ascii="Times New Roman" w:hAnsi="Times New Roman" w:eastAsia="仿宋_GB2312"/>
              </w:rPr>
            </w:pPr>
            <w:r>
              <w:rPr>
                <w:rFonts w:ascii="Times New Roman" w:hAnsi="Times New Roman" w:eastAsia="仿宋_GB2312"/>
              </w:rPr>
              <w:t>外墙</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保温形式</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保温材料种类</w:t>
            </w: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Merge w:val="restart"/>
            <w:vAlign w:val="center"/>
          </w:tcPr>
          <w:p>
            <w:pPr>
              <w:spacing w:line="380" w:lineRule="exact"/>
              <w:jc w:val="center"/>
              <w:rPr>
                <w:rFonts w:ascii="Times New Roman" w:hAnsi="Times New Roman" w:eastAsia="仿宋_GB2312"/>
              </w:rPr>
            </w:pPr>
            <w:r>
              <w:rPr>
                <w:rFonts w:ascii="Times New Roman" w:hAnsi="Times New Roman" w:eastAsia="仿宋_GB2312"/>
              </w:rPr>
              <w:t>各朝向措施</w:t>
            </w:r>
          </w:p>
          <w:p>
            <w:pPr>
              <w:spacing w:line="380" w:lineRule="exact"/>
              <w:jc w:val="center"/>
              <w:rPr>
                <w:rFonts w:ascii="Times New Roman" w:hAnsi="Times New Roman" w:eastAsia="仿宋_GB2312"/>
              </w:rPr>
            </w:pPr>
            <w:r>
              <w:rPr>
                <w:rFonts w:ascii="Times New Roman" w:hAnsi="Times New Roman" w:eastAsia="仿宋_GB2312"/>
              </w:rPr>
              <w:t>是否相同□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155" w:type="dxa"/>
            <w:vMerge w:val="continue"/>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选用厚度(mm)</w:t>
            </w: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Merge w:val="continue"/>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155" w:type="dxa"/>
            <w:vMerge w:val="restart"/>
            <w:vAlign w:val="center"/>
          </w:tcPr>
          <w:p>
            <w:pPr>
              <w:spacing w:line="380" w:lineRule="exact"/>
              <w:jc w:val="center"/>
              <w:rPr>
                <w:rFonts w:ascii="Times New Roman" w:hAnsi="Times New Roman" w:eastAsia="仿宋_GB2312"/>
              </w:rPr>
            </w:pPr>
            <w:r>
              <w:rPr>
                <w:rFonts w:ascii="Times New Roman" w:hAnsi="Times New Roman" w:eastAsia="仿宋_GB2312"/>
              </w:rPr>
              <w:t>外窗</w:t>
            </w:r>
          </w:p>
        </w:tc>
        <w:tc>
          <w:tcPr>
            <w:tcW w:w="1754" w:type="dxa"/>
            <w:gridSpan w:val="2"/>
            <w:tcBorders>
              <w:tl2br w:val="single" w:color="auto" w:sz="4" w:space="0"/>
            </w:tcBorders>
          </w:tcPr>
          <w:p>
            <w:pPr>
              <w:spacing w:line="380" w:lineRule="exact"/>
              <w:jc w:val="center"/>
              <w:rPr>
                <w:rFonts w:ascii="Times New Roman" w:hAnsi="Times New Roman" w:eastAsia="仿宋_GB2312"/>
              </w:rPr>
            </w:pPr>
            <w:r>
              <w:rPr>
                <w:rFonts w:ascii="Times New Roman" w:hAnsi="Times New Roman" w:eastAsia="仿宋_GB2312"/>
              </w:rPr>
              <w:t>分项</w:t>
            </w:r>
          </w:p>
          <w:p>
            <w:pPr>
              <w:spacing w:line="380" w:lineRule="exact"/>
              <w:jc w:val="center"/>
              <w:rPr>
                <w:rFonts w:ascii="Times New Roman" w:hAnsi="Times New Roman" w:eastAsia="仿宋_GB2312"/>
              </w:rPr>
            </w:pPr>
            <w:r>
              <w:rPr>
                <w:rFonts w:ascii="Times New Roman" w:hAnsi="Times New Roman" w:eastAsia="仿宋_GB2312"/>
              </w:rPr>
              <w:t>朝向</w:t>
            </w:r>
          </w:p>
        </w:tc>
        <w:tc>
          <w:tcPr>
            <w:tcW w:w="1201" w:type="dxa"/>
            <w:vAlign w:val="center"/>
          </w:tcPr>
          <w:p>
            <w:pPr>
              <w:spacing w:line="380" w:lineRule="exact"/>
              <w:jc w:val="center"/>
              <w:rPr>
                <w:rFonts w:ascii="Times New Roman" w:hAnsi="Times New Roman" w:eastAsia="仿宋_GB2312"/>
              </w:rPr>
            </w:pPr>
            <w:r>
              <w:rPr>
                <w:rFonts w:ascii="Times New Roman" w:hAnsi="Times New Roman" w:eastAsia="仿宋_GB2312"/>
              </w:rPr>
              <w:t>窗型</w:t>
            </w: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140"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中空厚度</w:t>
            </w:r>
          </w:p>
          <w:p>
            <w:pPr>
              <w:spacing w:line="380" w:lineRule="exact"/>
              <w:jc w:val="center"/>
              <w:rPr>
                <w:rFonts w:ascii="Times New Roman" w:hAnsi="Times New Roman" w:eastAsia="仿宋_GB2312"/>
              </w:rPr>
            </w:pPr>
            <w:r>
              <w:rPr>
                <w:rFonts w:ascii="Times New Roman" w:hAnsi="Times New Roman" w:eastAsia="仿宋_GB2312"/>
              </w:rPr>
              <w:t>（mm）</w:t>
            </w:r>
          </w:p>
        </w:tc>
        <w:tc>
          <w:tcPr>
            <w:tcW w:w="1985" w:type="dxa"/>
            <w:gridSpan w:val="5"/>
            <w:vAlign w:val="center"/>
          </w:tcPr>
          <w:p>
            <w:pPr>
              <w:spacing w:line="380" w:lineRule="exact"/>
              <w:jc w:val="center"/>
              <w:rPr>
                <w:rFonts w:ascii="Times New Roman" w:hAnsi="Times New Roman" w:eastAsia="仿宋_GB2312"/>
              </w:rPr>
            </w:pPr>
            <w:r>
              <w:rPr>
                <w:rFonts w:ascii="Times New Roman" w:hAnsi="Times New Roman" w:eastAsia="仿宋_GB2312"/>
              </w:rPr>
              <w:t>外遮阳形式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trPr>
        <w:tc>
          <w:tcPr>
            <w:tcW w:w="1155" w:type="dxa"/>
            <w:vMerge w:val="continue"/>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东</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trPr>
        <w:tc>
          <w:tcPr>
            <w:tcW w:w="1155" w:type="dxa"/>
            <w:vMerge w:val="continue"/>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西</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155" w:type="dxa"/>
            <w:vMerge w:val="continue"/>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南</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1155" w:type="dxa"/>
            <w:vMerge w:val="continue"/>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北</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p>
        </w:tc>
        <w:tc>
          <w:tcPr>
            <w:tcW w:w="1140" w:type="dxa"/>
            <w:gridSpan w:val="3"/>
            <w:vAlign w:val="center"/>
          </w:tcPr>
          <w:p>
            <w:pPr>
              <w:spacing w:line="380" w:lineRule="exact"/>
              <w:jc w:val="center"/>
              <w:rPr>
                <w:rFonts w:ascii="Times New Roman" w:hAnsi="Times New Roman" w:eastAsia="仿宋_GB2312"/>
              </w:rPr>
            </w:pP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1155" w:type="dxa"/>
            <w:vAlign w:val="center"/>
          </w:tcPr>
          <w:p>
            <w:pPr>
              <w:spacing w:line="380" w:lineRule="exact"/>
              <w:jc w:val="center"/>
              <w:rPr>
                <w:rFonts w:ascii="Times New Roman" w:hAnsi="Times New Roman" w:eastAsia="仿宋_GB2312"/>
              </w:rPr>
            </w:pPr>
            <w:r>
              <w:rPr>
                <w:rFonts w:ascii="Times New Roman" w:hAnsi="Times New Roman" w:eastAsia="仿宋_GB2312"/>
              </w:rPr>
              <w:t>屋面</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保温材料种类</w:t>
            </w:r>
          </w:p>
        </w:tc>
        <w:tc>
          <w:tcPr>
            <w:tcW w:w="1140" w:type="dxa"/>
            <w:gridSpan w:val="3"/>
            <w:vAlign w:val="center"/>
          </w:tcPr>
          <w:p>
            <w:pPr>
              <w:spacing w:line="380" w:lineRule="exact"/>
              <w:jc w:val="center"/>
              <w:rPr>
                <w:rFonts w:ascii="Times New Roman" w:hAnsi="Times New Roman" w:eastAsia="仿宋_GB2312"/>
              </w:rPr>
            </w:pPr>
          </w:p>
        </w:tc>
        <w:tc>
          <w:tcPr>
            <w:tcW w:w="1088"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选用厚度</w:t>
            </w:r>
          </w:p>
          <w:p>
            <w:pPr>
              <w:spacing w:line="380" w:lineRule="exact"/>
              <w:jc w:val="center"/>
              <w:rPr>
                <w:rFonts w:ascii="Times New Roman" w:hAnsi="Times New Roman" w:eastAsia="仿宋_GB2312"/>
              </w:rPr>
            </w:pPr>
            <w:r>
              <w:rPr>
                <w:rFonts w:ascii="Times New Roman" w:hAnsi="Times New Roman" w:eastAsia="仿宋_GB2312"/>
              </w:rPr>
              <w:t>(mm)</w:t>
            </w:r>
          </w:p>
        </w:tc>
        <w:tc>
          <w:tcPr>
            <w:tcW w:w="897" w:type="dxa"/>
            <w:gridSpan w:val="3"/>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1155" w:type="dxa"/>
            <w:vAlign w:val="center"/>
          </w:tcPr>
          <w:p>
            <w:pPr>
              <w:spacing w:line="380" w:lineRule="exact"/>
              <w:jc w:val="center"/>
              <w:rPr>
                <w:rFonts w:ascii="Times New Roman" w:hAnsi="Times New Roman" w:eastAsia="仿宋_GB2312"/>
              </w:rPr>
            </w:pPr>
            <w:r>
              <w:rPr>
                <w:rFonts w:ascii="Times New Roman" w:hAnsi="Times New Roman" w:eastAsia="仿宋_GB2312"/>
              </w:rPr>
              <w:t>地面或架空楼板</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保温材料种类</w:t>
            </w:r>
          </w:p>
        </w:tc>
        <w:tc>
          <w:tcPr>
            <w:tcW w:w="1140" w:type="dxa"/>
            <w:gridSpan w:val="3"/>
            <w:vAlign w:val="center"/>
          </w:tcPr>
          <w:p>
            <w:pPr>
              <w:spacing w:line="380" w:lineRule="exact"/>
              <w:jc w:val="center"/>
              <w:rPr>
                <w:rFonts w:ascii="Times New Roman" w:hAnsi="Times New Roman" w:eastAsia="仿宋_GB2312"/>
              </w:rPr>
            </w:pPr>
          </w:p>
        </w:tc>
        <w:tc>
          <w:tcPr>
            <w:tcW w:w="1088"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选用厚度</w:t>
            </w:r>
          </w:p>
          <w:p>
            <w:pPr>
              <w:spacing w:line="380" w:lineRule="exact"/>
              <w:jc w:val="center"/>
              <w:rPr>
                <w:rFonts w:ascii="Times New Roman" w:hAnsi="Times New Roman" w:eastAsia="仿宋_GB2312"/>
              </w:rPr>
            </w:pPr>
            <w:r>
              <w:rPr>
                <w:rFonts w:ascii="Times New Roman" w:hAnsi="Times New Roman" w:eastAsia="仿宋_GB2312"/>
              </w:rPr>
              <w:t>(mm)</w:t>
            </w:r>
          </w:p>
        </w:tc>
        <w:tc>
          <w:tcPr>
            <w:tcW w:w="897" w:type="dxa"/>
            <w:gridSpan w:val="3"/>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155" w:type="dxa"/>
            <w:vAlign w:val="center"/>
          </w:tcPr>
          <w:p>
            <w:pPr>
              <w:spacing w:line="380" w:lineRule="exact"/>
              <w:jc w:val="center"/>
              <w:rPr>
                <w:rFonts w:ascii="Times New Roman" w:hAnsi="Times New Roman" w:eastAsia="仿宋_GB2312"/>
              </w:rPr>
            </w:pPr>
            <w:r>
              <w:rPr>
                <w:rFonts w:ascii="Times New Roman" w:hAnsi="Times New Roman" w:eastAsia="仿宋_GB2312"/>
              </w:rPr>
              <w:t>外挑</w:t>
            </w:r>
          </w:p>
          <w:p>
            <w:pPr>
              <w:spacing w:line="380" w:lineRule="exact"/>
              <w:jc w:val="center"/>
              <w:rPr>
                <w:rFonts w:ascii="Times New Roman" w:hAnsi="Times New Roman" w:eastAsia="仿宋_GB2312"/>
              </w:rPr>
            </w:pPr>
            <w:r>
              <w:rPr>
                <w:rFonts w:ascii="Times New Roman" w:hAnsi="Times New Roman" w:eastAsia="仿宋_GB2312"/>
              </w:rPr>
              <w:t>楼板</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保温材料种类</w:t>
            </w:r>
          </w:p>
        </w:tc>
        <w:tc>
          <w:tcPr>
            <w:tcW w:w="1140" w:type="dxa"/>
            <w:gridSpan w:val="3"/>
            <w:vAlign w:val="center"/>
          </w:tcPr>
          <w:p>
            <w:pPr>
              <w:spacing w:line="380" w:lineRule="exact"/>
              <w:jc w:val="center"/>
              <w:rPr>
                <w:rFonts w:ascii="Times New Roman" w:hAnsi="Times New Roman" w:eastAsia="仿宋_GB2312"/>
              </w:rPr>
            </w:pPr>
          </w:p>
        </w:tc>
        <w:tc>
          <w:tcPr>
            <w:tcW w:w="1088"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选用厚度</w:t>
            </w:r>
          </w:p>
          <w:p>
            <w:pPr>
              <w:spacing w:line="380" w:lineRule="exact"/>
              <w:jc w:val="center"/>
              <w:rPr>
                <w:rFonts w:ascii="Times New Roman" w:hAnsi="Times New Roman" w:eastAsia="仿宋_GB2312"/>
              </w:rPr>
            </w:pPr>
            <w:r>
              <w:rPr>
                <w:rFonts w:ascii="Times New Roman" w:hAnsi="Times New Roman" w:eastAsia="仿宋_GB2312"/>
              </w:rPr>
              <w:t>(mm)</w:t>
            </w:r>
          </w:p>
        </w:tc>
        <w:tc>
          <w:tcPr>
            <w:tcW w:w="897" w:type="dxa"/>
            <w:gridSpan w:val="3"/>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155" w:type="dxa"/>
            <w:vAlign w:val="center"/>
          </w:tcPr>
          <w:p>
            <w:pPr>
              <w:spacing w:line="380" w:lineRule="exact"/>
              <w:jc w:val="center"/>
              <w:rPr>
                <w:rFonts w:ascii="Times New Roman" w:hAnsi="Times New Roman" w:eastAsia="仿宋_GB2312"/>
              </w:rPr>
            </w:pPr>
            <w:r>
              <w:rPr>
                <w:rFonts w:ascii="Times New Roman" w:hAnsi="Times New Roman" w:eastAsia="仿宋_GB2312"/>
              </w:rPr>
              <w:t>幕墙</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传热系数</w:t>
            </w:r>
          </w:p>
          <w:p>
            <w:pPr>
              <w:spacing w:line="380" w:lineRule="exact"/>
              <w:jc w:val="center"/>
              <w:rPr>
                <w:rFonts w:ascii="Times New Roman" w:hAnsi="Times New Roman" w:eastAsia="仿宋_GB2312"/>
              </w:rPr>
            </w:pPr>
            <w:r>
              <w:rPr>
                <w:rFonts w:ascii="Times New Roman" w:hAnsi="Times New Roman" w:eastAsia="仿宋_GB2312"/>
              </w:rPr>
              <w:t>（W/m</w:t>
            </w:r>
            <w:r>
              <w:rPr>
                <w:rFonts w:ascii="Times New Roman" w:hAnsi="Times New Roman"/>
              </w:rPr>
              <w:t>²</w:t>
            </w:r>
            <w:r>
              <w:rPr>
                <w:rFonts w:ascii="Times New Roman" w:hAnsi="Times New Roman" w:eastAsia="仿宋_GB2312"/>
              </w:rPr>
              <w:t>·k）</w:t>
            </w:r>
          </w:p>
        </w:tc>
        <w:tc>
          <w:tcPr>
            <w:tcW w:w="1201" w:type="dxa"/>
            <w:vAlign w:val="center"/>
          </w:tcPr>
          <w:p>
            <w:pPr>
              <w:spacing w:line="380" w:lineRule="exact"/>
              <w:jc w:val="center"/>
              <w:rPr>
                <w:rFonts w:ascii="Times New Roman" w:hAnsi="Times New Roman" w:eastAsia="仿宋_GB2312"/>
              </w:rPr>
            </w:pP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保温材料种类</w:t>
            </w:r>
          </w:p>
        </w:tc>
        <w:tc>
          <w:tcPr>
            <w:tcW w:w="1140" w:type="dxa"/>
            <w:gridSpan w:val="3"/>
            <w:vAlign w:val="center"/>
          </w:tcPr>
          <w:p>
            <w:pPr>
              <w:spacing w:line="380" w:lineRule="exact"/>
              <w:jc w:val="center"/>
              <w:rPr>
                <w:rFonts w:ascii="Times New Roman" w:hAnsi="Times New Roman" w:eastAsia="仿宋_GB2312"/>
              </w:rPr>
            </w:pPr>
          </w:p>
        </w:tc>
        <w:tc>
          <w:tcPr>
            <w:tcW w:w="1088"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选用厚度</w:t>
            </w:r>
          </w:p>
          <w:p>
            <w:pPr>
              <w:spacing w:line="380" w:lineRule="exact"/>
              <w:jc w:val="center"/>
              <w:rPr>
                <w:rFonts w:ascii="Times New Roman" w:hAnsi="Times New Roman" w:eastAsia="仿宋_GB2312"/>
              </w:rPr>
            </w:pPr>
            <w:r>
              <w:rPr>
                <w:rFonts w:ascii="Times New Roman" w:hAnsi="Times New Roman" w:eastAsia="仿宋_GB2312"/>
              </w:rPr>
              <w:t>(mm)</w:t>
            </w:r>
          </w:p>
        </w:tc>
        <w:tc>
          <w:tcPr>
            <w:tcW w:w="897" w:type="dxa"/>
            <w:gridSpan w:val="3"/>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trPr>
        <w:tc>
          <w:tcPr>
            <w:tcW w:w="1155" w:type="dxa"/>
            <w:vMerge w:val="restart"/>
            <w:vAlign w:val="center"/>
          </w:tcPr>
          <w:p>
            <w:pPr>
              <w:spacing w:line="380" w:lineRule="exact"/>
              <w:jc w:val="center"/>
              <w:rPr>
                <w:rFonts w:ascii="Times New Roman" w:hAnsi="Times New Roman" w:eastAsia="仿宋_GB2312"/>
              </w:rPr>
            </w:pPr>
            <w:r>
              <w:rPr>
                <w:rFonts w:ascii="Times New Roman" w:hAnsi="Times New Roman" w:eastAsia="仿宋_GB2312"/>
              </w:rPr>
              <w:t>照明</w:t>
            </w: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节能灯具类型</w:t>
            </w:r>
          </w:p>
        </w:tc>
        <w:tc>
          <w:tcPr>
            <w:tcW w:w="6027" w:type="dxa"/>
            <w:gridSpan w:val="11"/>
            <w:vAlign w:val="center"/>
          </w:tcPr>
          <w:p>
            <w:pPr>
              <w:spacing w:line="380" w:lineRule="exact"/>
              <w:jc w:val="center"/>
              <w:rPr>
                <w:rFonts w:ascii="Times New Roman" w:hAnsi="Times New Roman" w:eastAsia="仿宋_GB2312"/>
              </w:rPr>
            </w:pPr>
            <w:r>
              <w:rPr>
                <w:rFonts w:ascii="Times New Roman" w:hAnsi="Times New Roman" w:eastAsia="仿宋_GB2312"/>
              </w:rPr>
              <w:t>普通荧光灯□ T8级□ T5级□ LED□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1155" w:type="dxa"/>
            <w:vMerge w:val="continue"/>
            <w:vAlign w:val="center"/>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使用部位</w:t>
            </w:r>
          </w:p>
        </w:tc>
        <w:tc>
          <w:tcPr>
            <w:tcW w:w="6027" w:type="dxa"/>
            <w:gridSpan w:val="11"/>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3" w:hRule="atLeast"/>
        </w:trPr>
        <w:tc>
          <w:tcPr>
            <w:tcW w:w="1155" w:type="dxa"/>
            <w:vMerge w:val="continue"/>
            <w:vAlign w:val="center"/>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控制方式</w:t>
            </w:r>
          </w:p>
        </w:tc>
        <w:tc>
          <w:tcPr>
            <w:tcW w:w="6027" w:type="dxa"/>
            <w:gridSpan w:val="11"/>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1" w:hRule="atLeast"/>
        </w:trPr>
        <w:tc>
          <w:tcPr>
            <w:tcW w:w="1155" w:type="dxa"/>
            <w:vMerge w:val="restart"/>
            <w:vAlign w:val="center"/>
          </w:tcPr>
          <w:p>
            <w:pPr>
              <w:spacing w:line="380" w:lineRule="exact"/>
              <w:jc w:val="center"/>
              <w:rPr>
                <w:rFonts w:ascii="Times New Roman" w:hAnsi="Times New Roman" w:eastAsia="仿宋_GB2312"/>
              </w:rPr>
            </w:pPr>
            <w:r>
              <w:rPr>
                <w:rFonts w:ascii="Times New Roman" w:hAnsi="Times New Roman" w:eastAsia="仿宋_GB2312"/>
              </w:rPr>
              <w:t>空调系统</w:t>
            </w:r>
          </w:p>
        </w:tc>
        <w:tc>
          <w:tcPr>
            <w:tcW w:w="1754" w:type="dxa"/>
            <w:gridSpan w:val="2"/>
            <w:tcBorders>
              <w:bottom w:val="single" w:color="auto" w:sz="4" w:space="0"/>
            </w:tcBorders>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空调冷热源类型</w:t>
            </w:r>
          </w:p>
        </w:tc>
        <w:tc>
          <w:tcPr>
            <w:tcW w:w="6027" w:type="dxa"/>
            <w:gridSpan w:val="11"/>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压缩式冷水（热泵）机组□ 吸收式冷水机组□ 分体式房间空调器□多联机□ 其他□ 区域集中供冷□ 独立冷热源集中供冷□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rPr>
        <w:tc>
          <w:tcPr>
            <w:tcW w:w="1155" w:type="dxa"/>
            <w:vMerge w:val="continue"/>
            <w:vAlign w:val="center"/>
          </w:tcPr>
          <w:p>
            <w:pPr>
              <w:spacing w:line="380" w:lineRule="exact"/>
              <w:jc w:val="center"/>
              <w:rPr>
                <w:rFonts w:ascii="Times New Roman" w:hAnsi="Times New Roman" w:eastAsia="仿宋_GB2312"/>
              </w:rPr>
            </w:pPr>
          </w:p>
        </w:tc>
        <w:tc>
          <w:tcPr>
            <w:tcW w:w="1754"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能效比</w:t>
            </w:r>
          </w:p>
        </w:tc>
        <w:tc>
          <w:tcPr>
            <w:tcW w:w="1201" w:type="dxa"/>
            <w:vAlign w:val="center"/>
          </w:tcPr>
          <w:p>
            <w:pPr>
              <w:spacing w:line="380" w:lineRule="exact"/>
              <w:jc w:val="center"/>
              <w:rPr>
                <w:rFonts w:ascii="Times New Roman" w:hAnsi="Times New Roman" w:eastAsia="仿宋_GB2312"/>
              </w:rPr>
            </w:pPr>
          </w:p>
        </w:tc>
        <w:tc>
          <w:tcPr>
            <w:tcW w:w="2841" w:type="dxa"/>
            <w:gridSpan w:val="5"/>
            <w:vAlign w:val="center"/>
          </w:tcPr>
          <w:p>
            <w:pPr>
              <w:spacing w:line="380" w:lineRule="exact"/>
              <w:jc w:val="center"/>
              <w:rPr>
                <w:rFonts w:ascii="Times New Roman" w:hAnsi="Times New Roman" w:eastAsia="仿宋_GB2312"/>
              </w:rPr>
            </w:pPr>
            <w:r>
              <w:rPr>
                <w:rFonts w:ascii="Times New Roman" w:hAnsi="Times New Roman" w:eastAsia="仿宋_GB2312"/>
              </w:rPr>
              <w:t>是否采用蓄冷、热技术</w:t>
            </w: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trPr>
        <w:tc>
          <w:tcPr>
            <w:tcW w:w="1155" w:type="dxa"/>
            <w:vMerge w:val="continue"/>
            <w:vAlign w:val="center"/>
          </w:tcPr>
          <w:p>
            <w:pPr>
              <w:spacing w:line="380" w:lineRule="exact"/>
              <w:jc w:val="center"/>
              <w:rPr>
                <w:rFonts w:ascii="Times New Roman" w:hAnsi="Times New Roman" w:eastAsia="仿宋_GB2312"/>
              </w:rPr>
            </w:pPr>
          </w:p>
        </w:tc>
        <w:tc>
          <w:tcPr>
            <w:tcW w:w="1754" w:type="dxa"/>
            <w:gridSpan w:val="2"/>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送、排风系统</w:t>
            </w:r>
          </w:p>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形式</w:t>
            </w:r>
          </w:p>
        </w:tc>
        <w:tc>
          <w:tcPr>
            <w:tcW w:w="6027" w:type="dxa"/>
            <w:gridSpan w:val="11"/>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自然通风系统□ 机械送排风系统□机械排风、自然进风系统</w:t>
            </w:r>
          </w:p>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□设有排风余热回收装置的机械排风系统□ 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2409" w:type="dxa"/>
            <w:gridSpan w:val="2"/>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室内采暖方式热</w:t>
            </w:r>
          </w:p>
        </w:tc>
        <w:tc>
          <w:tcPr>
            <w:tcW w:w="4542" w:type="dxa"/>
            <w:gridSpan w:val="7"/>
            <w:vAlign w:val="center"/>
          </w:tcPr>
          <w:p>
            <w:pPr>
              <w:spacing w:line="380" w:lineRule="exact"/>
              <w:jc w:val="center"/>
              <w:rPr>
                <w:rFonts w:ascii="Times New Roman" w:hAnsi="Times New Roman" w:eastAsia="仿宋_GB2312"/>
              </w:rPr>
            </w:pPr>
          </w:p>
        </w:tc>
        <w:tc>
          <w:tcPr>
            <w:tcW w:w="992" w:type="dxa"/>
            <w:vAlign w:val="center"/>
          </w:tcPr>
          <w:p>
            <w:pPr>
              <w:spacing w:line="380" w:lineRule="exact"/>
              <w:jc w:val="center"/>
              <w:rPr>
                <w:rFonts w:ascii="Times New Roman" w:hAnsi="Times New Roman" w:eastAsia="仿宋_GB2312"/>
              </w:rPr>
            </w:pPr>
            <w:r>
              <w:rPr>
                <w:rFonts w:ascii="Times New Roman" w:hAnsi="Times New Roman" w:eastAsia="仿宋_GB2312"/>
              </w:rPr>
              <w:t>热源</w:t>
            </w:r>
          </w:p>
        </w:tc>
        <w:tc>
          <w:tcPr>
            <w:tcW w:w="993" w:type="dxa"/>
            <w:gridSpan w:val="4"/>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81" w:hRule="atLeast"/>
        </w:trPr>
        <w:tc>
          <w:tcPr>
            <w:tcW w:w="2409" w:type="dxa"/>
            <w:gridSpan w:val="2"/>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水用能类型</w:t>
            </w:r>
          </w:p>
        </w:tc>
        <w:tc>
          <w:tcPr>
            <w:tcW w:w="2886"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电□ 　　蒸汽□　 燃气□</w:t>
            </w:r>
          </w:p>
          <w:p>
            <w:pPr>
              <w:spacing w:line="380" w:lineRule="exact"/>
              <w:jc w:val="center"/>
              <w:rPr>
                <w:rFonts w:ascii="Times New Roman" w:hAnsi="Times New Roman" w:eastAsia="仿宋_GB2312"/>
              </w:rPr>
            </w:pPr>
            <w:r>
              <w:rPr>
                <w:rFonts w:ascii="Times New Roman" w:hAnsi="Times New Roman" w:eastAsia="仿宋_GB2312"/>
              </w:rPr>
              <w:t>太阳能□ 地热□　 其他□</w:t>
            </w:r>
          </w:p>
        </w:tc>
        <w:tc>
          <w:tcPr>
            <w:tcW w:w="1650"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热水供应形式</w:t>
            </w:r>
          </w:p>
        </w:tc>
        <w:tc>
          <w:tcPr>
            <w:tcW w:w="1985" w:type="dxa"/>
            <w:gridSpan w:val="5"/>
            <w:vAlign w:val="center"/>
          </w:tcPr>
          <w:p>
            <w:pPr>
              <w:spacing w:line="380" w:lineRule="exact"/>
              <w:jc w:val="center"/>
              <w:rPr>
                <w:rFonts w:ascii="Times New Roman" w:hAnsi="Times New Roman" w:eastAsia="仿宋_GB2312"/>
              </w:rPr>
            </w:pPr>
            <w:r>
              <w:rPr>
                <w:rFonts w:ascii="Times New Roman" w:hAnsi="Times New Roman" w:eastAsia="仿宋_GB2312"/>
              </w:rPr>
              <w:t>集中式□</w:t>
            </w:r>
          </w:p>
          <w:p>
            <w:pPr>
              <w:spacing w:line="380" w:lineRule="exact"/>
              <w:jc w:val="center"/>
              <w:rPr>
                <w:rFonts w:ascii="Times New Roman" w:hAnsi="Times New Roman" w:eastAsia="仿宋_GB2312"/>
              </w:rPr>
            </w:pPr>
            <w:r>
              <w:rPr>
                <w:rFonts w:ascii="Times New Roman" w:hAnsi="Times New Roman" w:eastAsia="仿宋_GB2312"/>
              </w:rPr>
              <w:t>分散式□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549" w:hRule="atLeast"/>
        </w:trPr>
        <w:tc>
          <w:tcPr>
            <w:tcW w:w="2409" w:type="dxa"/>
            <w:gridSpan w:val="2"/>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雨水回收</w:t>
            </w:r>
          </w:p>
        </w:tc>
        <w:tc>
          <w:tcPr>
            <w:tcW w:w="2886" w:type="dxa"/>
            <w:gridSpan w:val="3"/>
            <w:vAlign w:val="center"/>
          </w:tcPr>
          <w:p>
            <w:pPr>
              <w:spacing w:line="380" w:lineRule="exact"/>
              <w:jc w:val="center"/>
              <w:rPr>
                <w:rFonts w:ascii="Times New Roman" w:hAnsi="Times New Roman" w:eastAsia="仿宋_GB2312"/>
              </w:rPr>
            </w:pPr>
          </w:p>
        </w:tc>
        <w:tc>
          <w:tcPr>
            <w:tcW w:w="1650"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建筑中水</w:t>
            </w:r>
          </w:p>
        </w:tc>
        <w:tc>
          <w:tcPr>
            <w:tcW w:w="1985" w:type="dxa"/>
            <w:gridSpan w:val="5"/>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6" w:type="dxa"/>
          <w:trHeight w:val="690" w:hRule="atLeast"/>
        </w:trPr>
        <w:tc>
          <w:tcPr>
            <w:tcW w:w="2409" w:type="dxa"/>
            <w:gridSpan w:val="2"/>
            <w:vAlign w:val="center"/>
          </w:tcPr>
          <w:p>
            <w:pPr>
              <w:pStyle w:val="7"/>
              <w:spacing w:before="0" w:beforeAutospacing="0" w:after="0" w:afterAutospacing="0" w:line="380" w:lineRule="exact"/>
              <w:jc w:val="center"/>
              <w:rPr>
                <w:rFonts w:ascii="Times New Roman" w:hAnsi="Times New Roman" w:eastAsia="仿宋_GB2312"/>
                <w:kern w:val="2"/>
                <w:sz w:val="21"/>
                <w:szCs w:val="22"/>
              </w:rPr>
            </w:pPr>
            <w:r>
              <w:rPr>
                <w:rFonts w:ascii="Times New Roman" w:hAnsi="Times New Roman" w:eastAsia="仿宋_GB2312"/>
                <w:kern w:val="2"/>
                <w:sz w:val="21"/>
                <w:szCs w:val="22"/>
              </w:rPr>
              <w:t>可再生能源利用</w:t>
            </w:r>
          </w:p>
        </w:tc>
        <w:tc>
          <w:tcPr>
            <w:tcW w:w="1701"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太阳能</w:t>
            </w:r>
          </w:p>
        </w:tc>
        <w:tc>
          <w:tcPr>
            <w:tcW w:w="1185" w:type="dxa"/>
            <w:vAlign w:val="center"/>
          </w:tcPr>
          <w:p>
            <w:pPr>
              <w:spacing w:line="380" w:lineRule="exact"/>
              <w:jc w:val="center"/>
              <w:rPr>
                <w:rFonts w:ascii="Times New Roman" w:hAnsi="Times New Roman" w:eastAsia="仿宋_GB2312"/>
              </w:rPr>
            </w:pPr>
          </w:p>
        </w:tc>
        <w:tc>
          <w:tcPr>
            <w:tcW w:w="1080" w:type="dxa"/>
            <w:gridSpan w:val="2"/>
            <w:vAlign w:val="center"/>
          </w:tcPr>
          <w:p>
            <w:pPr>
              <w:spacing w:line="380" w:lineRule="exact"/>
              <w:jc w:val="center"/>
              <w:rPr>
                <w:rFonts w:ascii="Times New Roman" w:hAnsi="Times New Roman" w:eastAsia="仿宋_GB2312"/>
              </w:rPr>
            </w:pPr>
            <w:r>
              <w:rPr>
                <w:rFonts w:ascii="Times New Roman" w:hAnsi="Times New Roman" w:eastAsia="仿宋_GB2312"/>
              </w:rPr>
              <w:t>地、水</w:t>
            </w:r>
          </w:p>
          <w:p>
            <w:pPr>
              <w:spacing w:line="380" w:lineRule="exact"/>
              <w:jc w:val="center"/>
              <w:rPr>
                <w:rFonts w:ascii="Times New Roman" w:hAnsi="Times New Roman" w:eastAsia="仿宋_GB2312"/>
              </w:rPr>
            </w:pPr>
            <w:r>
              <w:rPr>
                <w:rFonts w:ascii="Times New Roman" w:hAnsi="Times New Roman" w:eastAsia="仿宋_GB2312"/>
              </w:rPr>
              <w:t>热能</w:t>
            </w:r>
          </w:p>
        </w:tc>
        <w:tc>
          <w:tcPr>
            <w:tcW w:w="576" w:type="dxa"/>
            <w:gridSpan w:val="2"/>
            <w:vAlign w:val="center"/>
          </w:tcPr>
          <w:p>
            <w:pPr>
              <w:spacing w:line="380" w:lineRule="exact"/>
              <w:jc w:val="center"/>
              <w:rPr>
                <w:rFonts w:ascii="Times New Roman" w:hAnsi="Times New Roman" w:eastAsia="仿宋_GB2312"/>
              </w:rPr>
            </w:pPr>
          </w:p>
        </w:tc>
        <w:tc>
          <w:tcPr>
            <w:tcW w:w="1128" w:type="dxa"/>
            <w:gridSpan w:val="3"/>
            <w:vAlign w:val="center"/>
          </w:tcPr>
          <w:p>
            <w:pPr>
              <w:spacing w:line="380" w:lineRule="exact"/>
              <w:jc w:val="center"/>
              <w:rPr>
                <w:rFonts w:ascii="Times New Roman" w:hAnsi="Times New Roman" w:eastAsia="仿宋_GB2312"/>
              </w:rPr>
            </w:pPr>
            <w:r>
              <w:rPr>
                <w:rFonts w:ascii="Times New Roman" w:hAnsi="Times New Roman" w:eastAsia="仿宋_GB2312"/>
              </w:rPr>
              <w:t>余热利用</w:t>
            </w:r>
          </w:p>
        </w:tc>
        <w:tc>
          <w:tcPr>
            <w:tcW w:w="851" w:type="dxa"/>
            <w:vAlign w:val="center"/>
          </w:tcPr>
          <w:p>
            <w:pPr>
              <w:spacing w:line="380" w:lineRule="exact"/>
              <w:jc w:val="center"/>
              <w:rPr>
                <w:rFonts w:ascii="Times New Roman" w:hAnsi="Times New Roman" w:eastAsia="仿宋_GB231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6" w:hRule="atLeast"/>
        </w:trPr>
        <w:tc>
          <w:tcPr>
            <w:tcW w:w="8936" w:type="dxa"/>
            <w:gridSpan w:val="14"/>
          </w:tcPr>
          <w:p>
            <w:pPr>
              <w:spacing w:line="380" w:lineRule="exact"/>
              <w:jc w:val="center"/>
              <w:rPr>
                <w:rFonts w:ascii="Times New Roman" w:hAnsi="Times New Roman" w:eastAsia="仿宋_GB2312"/>
              </w:rPr>
            </w:pPr>
          </w:p>
          <w:p>
            <w:pPr>
              <w:spacing w:line="380" w:lineRule="exact"/>
              <w:jc w:val="center"/>
              <w:rPr>
                <w:rFonts w:ascii="Times New Roman" w:hAnsi="Times New Roman" w:eastAsia="仿宋_GB2312"/>
              </w:rPr>
            </w:pPr>
            <w:r>
              <w:rPr>
                <w:rFonts w:ascii="Times New Roman" w:hAnsi="Times New Roman" w:eastAsia="仿宋_GB2312"/>
              </w:rPr>
              <w:t>本单位郑重承诺：本表内容与建筑节能报审表、经审查通过的施工图设计文件一致。</w:t>
            </w:r>
          </w:p>
          <w:p>
            <w:pPr>
              <w:spacing w:line="380" w:lineRule="exact"/>
              <w:jc w:val="center"/>
              <w:rPr>
                <w:rFonts w:ascii="Times New Roman" w:hAnsi="Times New Roman" w:eastAsia="仿宋_GB2312"/>
              </w:rPr>
            </w:pPr>
          </w:p>
          <w:p>
            <w:pPr>
              <w:spacing w:line="380" w:lineRule="exact"/>
              <w:jc w:val="center"/>
              <w:rPr>
                <w:rFonts w:ascii="Times New Roman" w:hAnsi="Times New Roman" w:eastAsia="仿宋_GB2312"/>
              </w:rPr>
            </w:pPr>
          </w:p>
          <w:p>
            <w:pPr>
              <w:spacing w:line="380" w:lineRule="exact"/>
              <w:jc w:val="center"/>
              <w:rPr>
                <w:rFonts w:ascii="Times New Roman" w:hAnsi="Times New Roman" w:eastAsia="仿宋_GB2312"/>
              </w:rPr>
            </w:pPr>
          </w:p>
          <w:p>
            <w:pPr>
              <w:spacing w:line="380" w:lineRule="exact"/>
              <w:jc w:val="center"/>
              <w:rPr>
                <w:rFonts w:ascii="Times New Roman" w:hAnsi="Times New Roman" w:eastAsia="仿宋_GB2312"/>
              </w:rPr>
            </w:pPr>
            <w:r>
              <w:rPr>
                <w:rFonts w:ascii="Times New Roman" w:hAnsi="Times New Roman" w:eastAsia="仿宋_GB2312"/>
              </w:rPr>
              <w:t>建设单位（章）　　 负责人签字</w:t>
            </w:r>
          </w:p>
          <w:p>
            <w:pPr>
              <w:spacing w:line="380" w:lineRule="exact"/>
              <w:jc w:val="center"/>
              <w:rPr>
                <w:rFonts w:ascii="Times New Roman" w:hAnsi="Times New Roman" w:eastAsia="仿宋_GB2312"/>
              </w:rPr>
            </w:pPr>
          </w:p>
          <w:p>
            <w:pPr>
              <w:spacing w:line="380" w:lineRule="exact"/>
              <w:jc w:val="center"/>
              <w:rPr>
                <w:rFonts w:ascii="Times New Roman" w:hAnsi="Times New Roman" w:eastAsia="仿宋_GB2312"/>
              </w:rPr>
            </w:pPr>
            <w:r>
              <w:rPr>
                <w:rFonts w:ascii="Times New Roman" w:hAnsi="Times New Roman" w:eastAsia="仿宋_GB2312"/>
              </w:rPr>
              <w:t>年    月    日</w:t>
            </w:r>
          </w:p>
        </w:tc>
      </w:tr>
    </w:tbl>
    <w:p/>
    <w:p>
      <w:pPr>
        <w:rPr>
          <w:rFonts w:ascii="仿宋" w:hAnsi="仿宋" w:eastAsia="仿宋"/>
        </w:rPr>
      </w:pPr>
      <w:r>
        <w:rPr>
          <w:rFonts w:hint="eastAsia" w:ascii="仿宋" w:hAnsi="仿宋" w:eastAsia="仿宋"/>
        </w:rPr>
        <w:t>填表说明：</w:t>
      </w:r>
    </w:p>
    <w:p>
      <w:pPr>
        <w:rPr>
          <w:rFonts w:ascii="仿宋" w:hAnsi="仿宋" w:eastAsia="仿宋"/>
        </w:rPr>
      </w:pPr>
      <w:r>
        <w:rPr>
          <w:rFonts w:hint="eastAsia" w:ascii="仿宋" w:hAnsi="仿宋" w:eastAsia="仿宋"/>
        </w:rPr>
        <w:t>一、外墙保温形式包括：外保温、内保温、夹芯保温、墙体自保温、其他。</w:t>
      </w:r>
    </w:p>
    <w:p>
      <w:pPr>
        <w:rPr>
          <w:rFonts w:ascii="仿宋" w:hAnsi="仿宋" w:eastAsia="仿宋"/>
        </w:rPr>
      </w:pPr>
      <w:r>
        <w:rPr>
          <w:rFonts w:hint="eastAsia" w:ascii="仿宋" w:hAnsi="仿宋" w:eastAsia="仿宋"/>
        </w:rPr>
        <w:t>二、外窗窗型包括：断热铝合金中空玻璃窗、断热铝合金</w:t>
      </w:r>
      <w:r>
        <w:rPr>
          <w:rFonts w:ascii="仿宋" w:hAnsi="仿宋" w:eastAsia="仿宋"/>
        </w:rPr>
        <w:t>Low-e</w:t>
      </w:r>
      <w:r>
        <w:rPr>
          <w:rFonts w:hint="eastAsia" w:ascii="仿宋" w:hAnsi="仿宋" w:eastAsia="仿宋"/>
        </w:rPr>
        <w:t>中空玻璃窗、铝合金中空玻璃窗、塑钢中空玻璃窗、塑钢</w:t>
      </w:r>
      <w:r>
        <w:rPr>
          <w:rFonts w:ascii="仿宋" w:hAnsi="仿宋" w:eastAsia="仿宋"/>
        </w:rPr>
        <w:t>Low-e</w:t>
      </w:r>
      <w:r>
        <w:rPr>
          <w:rFonts w:hint="eastAsia" w:ascii="仿宋" w:hAnsi="仿宋" w:eastAsia="仿宋"/>
        </w:rPr>
        <w:t>中空玻璃窗、单层玻璃窗、其他。</w:t>
      </w:r>
    </w:p>
    <w:p>
      <w:pPr>
        <w:rPr>
          <w:rFonts w:ascii="仿宋" w:hAnsi="仿宋" w:eastAsia="仿宋"/>
        </w:rPr>
      </w:pPr>
      <w:r>
        <w:rPr>
          <w:rFonts w:hint="eastAsia" w:ascii="仿宋" w:hAnsi="仿宋" w:eastAsia="仿宋"/>
        </w:rPr>
        <w:t>三、幕墙型式同上。</w:t>
      </w:r>
    </w:p>
    <w:p>
      <w:pPr>
        <w:rPr>
          <w:rFonts w:ascii="仿宋" w:hAnsi="仿宋" w:eastAsia="仿宋"/>
        </w:rPr>
      </w:pPr>
      <w:r>
        <w:rPr>
          <w:rFonts w:hint="eastAsia" w:ascii="仿宋" w:hAnsi="仿宋" w:eastAsia="仿宋"/>
        </w:rPr>
        <w:t>四、外遮阳形式包括：水平百页遮阳、水平挡板遮阳、垂直百页遮阳、垂直挡板遮阳、垂直卷帘遮阳。</w:t>
      </w:r>
    </w:p>
    <w:p>
      <w:pPr>
        <w:rPr>
          <w:rFonts w:ascii="仿宋" w:hAnsi="仿宋" w:eastAsia="仿宋"/>
        </w:rPr>
      </w:pPr>
      <w:r>
        <w:rPr>
          <w:rFonts w:hint="eastAsia" w:ascii="仿宋" w:hAnsi="仿宋" w:eastAsia="仿宋"/>
        </w:rPr>
        <w:t>五、有悬挑窗应在外挑楼（窗）板一栏填写保温措施。</w:t>
      </w:r>
    </w:p>
    <w:p>
      <w:pPr>
        <w:rPr>
          <w:rFonts w:ascii="仿宋" w:hAnsi="仿宋" w:eastAsia="仿宋"/>
        </w:rPr>
      </w:pPr>
      <w:r>
        <w:rPr>
          <w:rFonts w:hint="eastAsia" w:ascii="仿宋" w:hAnsi="仿宋" w:eastAsia="仿宋"/>
        </w:rPr>
        <w:t>六、室内采暖方式包括：散热器供暖、地面辐射供暖、空调系统供暖、其他。</w:t>
      </w:r>
    </w:p>
    <w:p>
      <w:pPr>
        <w:rPr>
          <w:rFonts w:ascii="Times New Roman" w:hAnsi="Times New Roman" w:eastAsia="黑体"/>
          <w:sz w:val="32"/>
          <w:szCs w:val="32"/>
        </w:rPr>
      </w:pPr>
      <w:r>
        <w:rPr>
          <w:rFonts w:ascii="仿宋" w:hAnsi="仿宋" w:eastAsia="仿宋"/>
        </w:rPr>
        <w:br w:type="page"/>
      </w:r>
      <w:r>
        <w:rPr>
          <w:rFonts w:ascii="Times New Roman" w:hAnsi="黑体" w:eastAsia="黑体"/>
          <w:sz w:val="32"/>
          <w:szCs w:val="32"/>
        </w:rPr>
        <w:t>附件</w:t>
      </w:r>
      <w:r>
        <w:rPr>
          <w:rFonts w:ascii="Times New Roman" w:hAnsi="Times New Roman" w:eastAsia="黑体"/>
          <w:sz w:val="32"/>
          <w:szCs w:val="32"/>
        </w:rPr>
        <w:t>2</w:t>
      </w:r>
    </w:p>
    <w:p>
      <w:pPr>
        <w:spacing w:line="560" w:lineRule="exact"/>
        <w:jc w:val="center"/>
        <w:rPr>
          <w:rFonts w:ascii="方正小标宋简体" w:hAnsi="黑体" w:eastAsia="方正小标宋简体"/>
          <w:sz w:val="36"/>
          <w:szCs w:val="36"/>
        </w:rPr>
      </w:pPr>
      <w:r>
        <w:rPr>
          <w:rFonts w:hint="eastAsia" w:ascii="方正小标宋简体" w:hAnsi="黑体" w:eastAsia="方正小标宋简体"/>
          <w:sz w:val="36"/>
          <w:szCs w:val="36"/>
        </w:rPr>
        <w:t>商品房买卖合同、住宅质量保证书和使用</w:t>
      </w:r>
    </w:p>
    <w:p>
      <w:pPr>
        <w:spacing w:line="560" w:lineRule="exact"/>
        <w:jc w:val="center"/>
        <w:rPr>
          <w:rFonts w:ascii="微软雅黑" w:hAnsi="微软雅黑" w:eastAsia="方正小标宋简体"/>
          <w:color w:val="333333"/>
          <w:sz w:val="36"/>
          <w:szCs w:val="36"/>
        </w:rPr>
      </w:pPr>
      <w:r>
        <w:rPr>
          <w:rFonts w:hint="eastAsia" w:ascii="方正小标宋简体" w:hAnsi="黑体" w:eastAsia="方正小标宋简体"/>
          <w:sz w:val="36"/>
          <w:szCs w:val="36"/>
        </w:rPr>
        <w:t>说明书中载明的内容</w:t>
      </w:r>
      <w:r>
        <w:rPr>
          <w:rFonts w:hint="eastAsia" w:ascii="微软雅黑" w:hAnsi="微软雅黑" w:eastAsia="方正小标宋简体"/>
          <w:color w:val="333333"/>
          <w:sz w:val="36"/>
          <w:szCs w:val="36"/>
        </w:rPr>
        <w:t> </w:t>
      </w:r>
    </w:p>
    <w:p>
      <w:pPr>
        <w:spacing w:line="560" w:lineRule="exact"/>
        <w:jc w:val="center"/>
        <w:rPr>
          <w:rFonts w:ascii="方正小标宋简体" w:hAnsi="黑体" w:eastAsia="方正小标宋简体"/>
          <w:color w:val="333333"/>
          <w:sz w:val="36"/>
          <w:szCs w:val="36"/>
        </w:rPr>
      </w:pPr>
    </w:p>
    <w:p>
      <w:pPr>
        <w:snapToGrid w:val="0"/>
        <w:spacing w:line="560" w:lineRule="exact"/>
        <w:ind w:firstLine="610" w:firstLineChars="196"/>
        <w:rPr>
          <w:rFonts w:ascii="黑体" w:hAnsi="黑体" w:eastAsia="黑体"/>
          <w:sz w:val="32"/>
          <w:szCs w:val="32"/>
        </w:rPr>
      </w:pPr>
      <w:r>
        <w:rPr>
          <w:rFonts w:ascii="黑体" w:hAnsi="黑体" w:eastAsia="黑体"/>
          <w:sz w:val="32"/>
          <w:szCs w:val="32"/>
        </w:rPr>
        <w:t>一、围护结构保温（隔热）、遮阳设施</w:t>
      </w:r>
    </w:p>
    <w:p>
      <w:pPr>
        <w:snapToGrid w:val="0"/>
        <w:spacing w:line="560" w:lineRule="exact"/>
        <w:ind w:firstLine="622" w:firstLineChars="200"/>
        <w:rPr>
          <w:rFonts w:ascii="楷体" w:hAnsi="楷体" w:eastAsia="楷体"/>
          <w:sz w:val="32"/>
          <w:szCs w:val="32"/>
        </w:rPr>
      </w:pPr>
      <w:r>
        <w:rPr>
          <w:rFonts w:ascii="楷体" w:hAnsi="楷体" w:eastAsia="楷体"/>
          <w:sz w:val="32"/>
          <w:szCs w:val="32"/>
        </w:rPr>
        <w:t>（一）墙体</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 xml:space="preserve">保温形式[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[A]外保温 [B]内保温 [C]夹芯保温 [D]其他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 xml:space="preserve">保温材料名称[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[A]挤塑聚苯乙烯发泡板 [B]模塑聚苯乙烯发泡板 [C]聚氨酯发泡 [D]岩棉 [E]玻璃棉毡 [F]保温浆料 [G]其他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保温材料性能：密度[　　  ]kg/m3、燃烧性能[　　  ]h、导热系数[　　 ]W/M .K、保温材料层厚度[　　 ]mm</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墙体传热系数[　　 w/m2.k]</w:t>
      </w:r>
    </w:p>
    <w:p>
      <w:pPr>
        <w:snapToGrid w:val="0"/>
        <w:spacing w:line="560" w:lineRule="exact"/>
        <w:ind w:firstLine="622" w:firstLineChars="200"/>
        <w:rPr>
          <w:rFonts w:ascii="楷体" w:hAnsi="楷体" w:eastAsia="楷体"/>
          <w:sz w:val="32"/>
          <w:szCs w:val="32"/>
        </w:rPr>
      </w:pPr>
      <w:r>
        <w:rPr>
          <w:rFonts w:ascii="楷体" w:hAnsi="楷体" w:eastAsia="楷体"/>
          <w:sz w:val="32"/>
          <w:szCs w:val="32"/>
        </w:rPr>
        <w:t>（二）屋面</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 xml:space="preserve">保温（隔热）形式[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[A]坡屋顶 [B]平屋顶 [C]坡屋顶、平屋顶混合 [D]有架空屋面板 [E]保温层与防水层倒置 [F]其他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 xml:space="preserve">保温材料名称[　  ] </w:t>
      </w:r>
    </w:p>
    <w:p>
      <w:pPr>
        <w:snapToGrid w:val="0"/>
        <w:spacing w:line="560" w:lineRule="exact"/>
        <w:rPr>
          <w:rFonts w:ascii="Times New Roman" w:hAnsi="Times New Roman" w:eastAsia="仿宋_GB2312"/>
          <w:sz w:val="32"/>
          <w:szCs w:val="32"/>
        </w:rPr>
      </w:pPr>
      <w:r>
        <w:rPr>
          <w:rFonts w:ascii="Times New Roman" w:hAnsi="Times New Roman" w:eastAsia="仿宋_GB2312"/>
          <w:sz w:val="32"/>
          <w:szCs w:val="32"/>
        </w:rPr>
        <w:t>[A]挤塑聚苯乙烯发泡板 [B]聚氨酯发泡 [C]加气砼砌块 [D]憎水珍珠岩</w:t>
      </w:r>
      <w:r>
        <w:rPr>
          <w:rFonts w:hint="eastAsia" w:ascii="Times New Roman" w:hAnsi="Times New Roman" w:eastAsia="仿宋_GB2312"/>
          <w:sz w:val="32"/>
          <w:szCs w:val="32"/>
        </w:rPr>
        <w:t xml:space="preserve"> </w:t>
      </w:r>
      <w:r>
        <w:rPr>
          <w:rFonts w:ascii="Times New Roman" w:hAnsi="Times New Roman" w:eastAsia="仿宋_GB2312"/>
          <w:sz w:val="32"/>
          <w:szCs w:val="32"/>
        </w:rPr>
        <w:t>[F]其他</w:t>
      </w:r>
    </w:p>
    <w:p>
      <w:pPr>
        <w:snapToGrid w:val="0"/>
        <w:spacing w:line="560" w:lineRule="exact"/>
        <w:ind w:firstLine="622" w:firstLineChars="200"/>
        <w:rPr>
          <w:rFonts w:ascii="Times New Roman" w:hAnsi="Times New Roman" w:eastAsia="仿宋_GB2312"/>
          <w:sz w:val="32"/>
          <w:szCs w:val="32"/>
        </w:rPr>
      </w:pP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保温材料性能：密度[　　  kg/m3]、导热系数[　　 W/M .K]、吸水率[　　 %]、保温材料层厚度[　　  mm]</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屋顶传热系数[　　  w/m2.k]</w:t>
      </w:r>
    </w:p>
    <w:p>
      <w:pPr>
        <w:snapToGrid w:val="0"/>
        <w:spacing w:line="560" w:lineRule="exact"/>
        <w:ind w:firstLine="622" w:firstLineChars="200"/>
        <w:rPr>
          <w:rFonts w:ascii="楷体" w:hAnsi="楷体" w:eastAsia="楷体"/>
          <w:sz w:val="32"/>
          <w:szCs w:val="32"/>
        </w:rPr>
      </w:pPr>
      <w:r>
        <w:rPr>
          <w:rFonts w:ascii="楷体" w:hAnsi="楷体" w:eastAsia="楷体"/>
          <w:sz w:val="32"/>
          <w:szCs w:val="32"/>
        </w:rPr>
        <w:t>(三)地面（楼面）</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保温形式[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[A]采暖区不采暖地下室顶板保温 [B]采暖区过街楼面保温 [C]底层地面保温 [D]其他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 xml:space="preserve">保温材料名称[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[A]挤塑聚苯乙烯发泡板 [B]模箱聚苯乙烯发泡板 [C]聚氨酯发泡 [G]其他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保温材料性能：密度[　　  kg/m3]、导热系数[　　 W/M .K]、保温材料层厚度[　　  mm]</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地面（楼面）传热系数[　　 w/m2.k]。</w:t>
      </w:r>
    </w:p>
    <w:p>
      <w:pPr>
        <w:snapToGrid w:val="0"/>
        <w:spacing w:line="560" w:lineRule="exact"/>
        <w:ind w:firstLine="622" w:firstLineChars="200"/>
        <w:rPr>
          <w:rFonts w:ascii="楷体" w:hAnsi="楷体" w:eastAsia="楷体"/>
          <w:sz w:val="32"/>
          <w:szCs w:val="32"/>
        </w:rPr>
      </w:pPr>
      <w:r>
        <w:rPr>
          <w:rFonts w:ascii="楷体" w:hAnsi="楷体" w:eastAsia="楷体"/>
          <w:sz w:val="32"/>
          <w:szCs w:val="32"/>
        </w:rPr>
        <w:t>（四）外门窗（幕墙）</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门窗类型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[A]断热桥铝合金中空玻璃窗 [B]断热桥铝合金lo-E中空玻璃窗 [C]塑钢中空玻璃窗 [D]塑钢lo-E中空玻璃窗 [E]塑钢单层玻璃窗 [F]其他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外遮阳形式：[　  ] </w:t>
      </w:r>
    </w:p>
    <w:p>
      <w:pPr>
        <w:snapToGrid w:val="0"/>
        <w:spacing w:line="560" w:lineRule="exact"/>
        <w:ind w:firstLine="610" w:firstLineChars="196"/>
        <w:rPr>
          <w:rFonts w:ascii="Times New Roman" w:hAnsi="Times New Roman" w:eastAsia="仿宋_GB2312"/>
          <w:sz w:val="32"/>
          <w:szCs w:val="32"/>
        </w:rPr>
      </w:pPr>
      <w:r>
        <w:rPr>
          <w:rFonts w:ascii="Times New Roman" w:hAnsi="Times New Roman" w:eastAsia="仿宋_GB2312"/>
          <w:sz w:val="32"/>
          <w:szCs w:val="32"/>
        </w:rPr>
        <w:t>[A]水平百叶遮阳 [B]水平挡板遮阳 [C]垂直百叶遮阳 [E]垂直挡板遮阳</w:t>
      </w:r>
      <w:r>
        <w:rPr>
          <w:rFonts w:hint="eastAsia" w:ascii="Times New Roman" w:hAnsi="Times New Roman" w:eastAsia="仿宋_GB2312"/>
          <w:sz w:val="32"/>
          <w:szCs w:val="32"/>
        </w:rPr>
        <w:t xml:space="preserve"> </w:t>
      </w:r>
      <w:r>
        <w:rPr>
          <w:rFonts w:ascii="Times New Roman" w:hAnsi="Times New Roman" w:eastAsia="仿宋_GB2312"/>
          <w:sz w:val="32"/>
          <w:szCs w:val="32"/>
        </w:rPr>
        <w:t>[F]垂直卷帘遮阳</w:t>
      </w:r>
    </w:p>
    <w:p>
      <w:pPr>
        <w:snapToGrid w:val="0"/>
        <w:spacing w:line="560" w:lineRule="exact"/>
        <w:ind w:firstLine="622" w:firstLineChars="200"/>
        <w:rPr>
          <w:rFonts w:ascii="Times New Roman" w:hAnsi="Times New Roman" w:eastAsia="仿宋_GB2312"/>
          <w:sz w:val="32"/>
          <w:szCs w:val="32"/>
        </w:rPr>
      </w:pP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内遮阳材料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[A]金属百叶 [B]无纺布 [C]绒布 [D]纱 [F]竹帘 [G]其它</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门窗性能：传热系数[　　  w/m2.k]、遮阳系数[　　  %]、可见光透射比[　　  ]、气密性能[  ]</w:t>
      </w:r>
    </w:p>
    <w:p>
      <w:pPr>
        <w:snapToGrid w:val="0"/>
        <w:spacing w:line="560" w:lineRule="exact"/>
        <w:ind w:firstLine="622" w:firstLineChars="200"/>
        <w:rPr>
          <w:rFonts w:ascii="黑体" w:hAnsi="黑体" w:eastAsia="黑体"/>
          <w:sz w:val="32"/>
          <w:szCs w:val="32"/>
        </w:rPr>
      </w:pPr>
      <w:r>
        <w:rPr>
          <w:rFonts w:ascii="黑体" w:hAnsi="黑体" w:eastAsia="黑体"/>
          <w:sz w:val="32"/>
          <w:szCs w:val="32"/>
        </w:rPr>
        <w:t>二、供热采暖系统及其节能设施</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供热方式：[　　  ]</w:t>
      </w:r>
    </w:p>
    <w:p>
      <w:pPr>
        <w:snapToGrid w:val="0"/>
        <w:spacing w:line="560" w:lineRule="exact"/>
        <w:ind w:firstLine="610" w:firstLineChars="196"/>
        <w:rPr>
          <w:rFonts w:ascii="Times New Roman" w:hAnsi="Times New Roman" w:eastAsia="仿宋_GB2312"/>
          <w:sz w:val="32"/>
          <w:szCs w:val="32"/>
        </w:rPr>
      </w:pPr>
      <w:r>
        <w:rPr>
          <w:rFonts w:ascii="Times New Roman" w:hAnsi="Times New Roman" w:eastAsia="仿宋_GB2312"/>
          <w:sz w:val="32"/>
          <w:szCs w:val="32"/>
        </w:rPr>
        <w:t>[A]城市热力集中供热 [B]区域锅炉房集中供热 [C]分户独立热源供热</w:t>
      </w:r>
      <w:r>
        <w:rPr>
          <w:rFonts w:hint="eastAsia" w:ascii="Times New Roman" w:hAnsi="Times New Roman" w:eastAsia="仿宋_GB2312"/>
          <w:sz w:val="32"/>
          <w:szCs w:val="32"/>
        </w:rPr>
        <w:t xml:space="preserve"> </w:t>
      </w:r>
      <w:r>
        <w:rPr>
          <w:rFonts w:ascii="Times New Roman" w:hAnsi="Times New Roman" w:eastAsia="仿宋_GB2312"/>
          <w:sz w:val="32"/>
          <w:szCs w:val="32"/>
        </w:rPr>
        <w:t>[D]热电厂余热供热</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室内采暖方式：[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[A]散热器供暖 [B]地面辐射供暖 [C]其他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室内采暖系统形式：[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[A]垂直双管系统 [B]水平双管系统 [C]带跨越管的垂直单管系统 [D]带跨越管的水平单管系统 [E]地面辐射供暖系统 [F]其他系统</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系统调节装置：[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[A]静态水力平衡阀 [B]自力式流量控制阀 [C]自力式压差控制阀 [D]散热器恒温阀 [E]其他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w:t>
      </w:r>
      <w:r>
        <w:rPr>
          <w:rFonts w:ascii="Times New Roman" w:hAnsi="Times New Roman" w:eastAsia="仿宋_GB2312"/>
          <w:sz w:val="32"/>
          <w:szCs w:val="32"/>
        </w:rPr>
        <w:t>热量分摊（计量）方法:[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[A]户用热计量表法 [B]热分配计法 [C]温度法 [D]楼栋热量表法 [E]其他</w:t>
      </w:r>
    </w:p>
    <w:p>
      <w:pPr>
        <w:snapToGrid w:val="0"/>
        <w:spacing w:line="560" w:lineRule="exact"/>
        <w:ind w:firstLine="622" w:firstLineChars="200"/>
        <w:rPr>
          <w:rFonts w:ascii="黑体" w:hAnsi="黑体" w:eastAsia="黑体"/>
          <w:sz w:val="32"/>
          <w:szCs w:val="32"/>
        </w:rPr>
      </w:pPr>
      <w:r>
        <w:rPr>
          <w:rFonts w:ascii="黑体" w:hAnsi="黑体" w:eastAsia="黑体"/>
          <w:sz w:val="32"/>
          <w:szCs w:val="32"/>
        </w:rPr>
        <w:t>三、空调、通风、照明系统及其节能设施（公共建筑）</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空调风系统形式：[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[A]定风量全空气系统 [B]变风量全空气系统 [C]风机盘管加新风系统 [D]其他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有无新风热回收装置：[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[A]有 [B]无</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空调水系统制式：[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[A]一次泵系统 [B]二次泵系统 [C]一次泵变流量系统 [D]其他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 xml:space="preserve">空调冷热源类型及供冷方式：[　　  ]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[A]压缩式冷水（热泵）机组 [B]吸收式冷水机组 [C]分体式房间空调器[D]多联机 [E]独立冷热源集中供冷 [F]区域集中供冷 [G]其他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5</w:t>
      </w:r>
      <w:r>
        <w:rPr>
          <w:rFonts w:hint="eastAsia" w:ascii="Times New Roman" w:hAnsi="Times New Roman" w:eastAsia="仿宋_GB2312"/>
          <w:sz w:val="32"/>
          <w:szCs w:val="32"/>
        </w:rPr>
        <w:t>.</w:t>
      </w:r>
      <w:r>
        <w:rPr>
          <w:rFonts w:ascii="Times New Roman" w:hAnsi="Times New Roman" w:eastAsia="仿宋_GB2312"/>
          <w:sz w:val="32"/>
          <w:szCs w:val="32"/>
        </w:rPr>
        <w:t>系统调节装置：[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[A]电动两通阀 [B]电动两通调节阀 [C]动态电动两通阀 [D]动态电动两通调节阀 [E]压差控制装置 [F]对开式电动风量调节阀 [G]其他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6</w:t>
      </w:r>
      <w:r>
        <w:rPr>
          <w:rFonts w:hint="eastAsia" w:ascii="Times New Roman" w:hAnsi="Times New Roman" w:eastAsia="仿宋_GB2312"/>
          <w:sz w:val="32"/>
          <w:szCs w:val="32"/>
        </w:rPr>
        <w:t>.</w:t>
      </w:r>
      <w:r>
        <w:rPr>
          <w:rFonts w:ascii="Times New Roman" w:hAnsi="Times New Roman" w:eastAsia="仿宋_GB2312"/>
          <w:sz w:val="32"/>
          <w:szCs w:val="32"/>
        </w:rPr>
        <w:t>送、排风系统形式：[　　  ]</w:t>
      </w:r>
    </w:p>
    <w:p>
      <w:pPr>
        <w:snapToGrid w:val="0"/>
        <w:spacing w:line="560" w:lineRule="exact"/>
        <w:ind w:firstLine="610" w:firstLineChars="196"/>
        <w:rPr>
          <w:rFonts w:ascii="Times New Roman" w:hAnsi="Times New Roman" w:eastAsia="仿宋_GB2312"/>
          <w:sz w:val="32"/>
          <w:szCs w:val="32"/>
        </w:rPr>
      </w:pPr>
      <w:r>
        <w:rPr>
          <w:rFonts w:ascii="Times New Roman" w:hAnsi="Times New Roman" w:eastAsia="仿宋_GB2312"/>
          <w:sz w:val="32"/>
          <w:szCs w:val="32"/>
        </w:rPr>
        <w:t>[A]自然通风系统 [B]机械送排风系统 [C]机械排风、自然进风系统[D]设有排风余热回收装置的机械送排风系统 [E]其他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7</w:t>
      </w:r>
      <w:r>
        <w:rPr>
          <w:rFonts w:hint="eastAsia" w:ascii="Times New Roman" w:hAnsi="Times New Roman" w:eastAsia="仿宋_GB2312"/>
          <w:sz w:val="32"/>
          <w:szCs w:val="32"/>
        </w:rPr>
        <w:t>.</w:t>
      </w:r>
      <w:r>
        <w:rPr>
          <w:rFonts w:ascii="Times New Roman" w:hAnsi="Times New Roman" w:eastAsia="仿宋_GB2312"/>
          <w:sz w:val="32"/>
          <w:szCs w:val="32"/>
        </w:rPr>
        <w:t>照明系统性能：照度值[　　  ]、功率密度值[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8</w:t>
      </w:r>
      <w:r>
        <w:rPr>
          <w:rFonts w:hint="eastAsia" w:ascii="Times New Roman" w:hAnsi="Times New Roman" w:eastAsia="仿宋_GB2312"/>
          <w:sz w:val="32"/>
          <w:szCs w:val="32"/>
        </w:rPr>
        <w:t>.</w:t>
      </w:r>
      <w:r>
        <w:rPr>
          <w:rFonts w:ascii="Times New Roman" w:hAnsi="Times New Roman" w:eastAsia="仿宋_GB2312"/>
          <w:sz w:val="32"/>
          <w:szCs w:val="32"/>
        </w:rPr>
        <w:t>节能灯具类型：[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[A]普通荧光灯 [B] T8级 [C]T5级[D] LED [E]其他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9</w:t>
      </w:r>
      <w:r>
        <w:rPr>
          <w:rFonts w:hint="eastAsia" w:ascii="Times New Roman" w:hAnsi="Times New Roman" w:eastAsia="仿宋_GB2312"/>
          <w:sz w:val="32"/>
          <w:szCs w:val="32"/>
        </w:rPr>
        <w:t>.</w:t>
      </w:r>
      <w:r>
        <w:rPr>
          <w:rFonts w:ascii="Times New Roman" w:hAnsi="Times New Roman" w:eastAsia="仿宋_GB2312"/>
          <w:sz w:val="32"/>
          <w:szCs w:val="32"/>
        </w:rPr>
        <w:t>照明系统有无分组控制控制方式：[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[A]有 [B]无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10</w:t>
      </w:r>
      <w:r>
        <w:rPr>
          <w:rFonts w:hint="eastAsia" w:ascii="Times New Roman" w:hAnsi="Times New Roman" w:eastAsia="仿宋_GB2312"/>
          <w:sz w:val="32"/>
          <w:szCs w:val="32"/>
        </w:rPr>
        <w:t>.</w:t>
      </w:r>
      <w:r>
        <w:rPr>
          <w:rFonts w:ascii="Times New Roman" w:hAnsi="Times New Roman" w:eastAsia="仿宋_GB2312"/>
          <w:sz w:val="32"/>
          <w:szCs w:val="32"/>
        </w:rPr>
        <w:t>生活热水系统的形式和热源：[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[A]集中式 [B]分散式 [C]电 [D]蒸汽 [E]燃气 [F]太阳能 [G]其他</w:t>
      </w:r>
    </w:p>
    <w:p>
      <w:pPr>
        <w:snapToGrid w:val="0"/>
        <w:spacing w:line="560" w:lineRule="exact"/>
        <w:ind w:firstLine="622" w:firstLineChars="200"/>
        <w:rPr>
          <w:rFonts w:ascii="黑体" w:hAnsi="黑体" w:eastAsia="黑体"/>
          <w:sz w:val="32"/>
          <w:szCs w:val="32"/>
        </w:rPr>
      </w:pPr>
      <w:r>
        <w:rPr>
          <w:rFonts w:ascii="黑体" w:hAnsi="黑体" w:eastAsia="黑体"/>
          <w:sz w:val="32"/>
          <w:szCs w:val="32"/>
        </w:rPr>
        <w:t>四、可再生能源利用</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太阳能利用：[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[A]太阳能生活热水供应 [B]太阳能采暖 [C]太阳能空调制冷[D]太阳能光伏发电 [E]其他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地源热泵：[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[A]土壤源热泵 [B]浅层地下水源热泵 [C]地表水源热泵[D]污水水源热泵</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风能利用：[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[A]风能发电 [B]其他</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余热利用：[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[A]利用余热制备生活热水采暖 [B]利用余热制备采暖热水 [C]利用余热制备空调热水 [D]利用余热加热（冷却）新风</w:t>
      </w:r>
    </w:p>
    <w:p>
      <w:pPr>
        <w:snapToGrid w:val="0"/>
        <w:spacing w:line="560" w:lineRule="exact"/>
        <w:ind w:firstLine="622" w:firstLineChars="200"/>
        <w:rPr>
          <w:rFonts w:ascii="黑体" w:hAnsi="黑体" w:eastAsia="黑体"/>
          <w:sz w:val="32"/>
          <w:szCs w:val="32"/>
        </w:rPr>
      </w:pPr>
      <w:r>
        <w:rPr>
          <w:rFonts w:ascii="黑体" w:hAnsi="黑体" w:eastAsia="黑体"/>
          <w:sz w:val="32"/>
          <w:szCs w:val="32"/>
        </w:rPr>
        <w:t>五、建筑能耗与能源利用效率</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1</w:t>
      </w:r>
      <w:r>
        <w:rPr>
          <w:rFonts w:hint="eastAsia" w:ascii="Times New Roman" w:hAnsi="Times New Roman" w:eastAsia="仿宋_GB2312"/>
          <w:sz w:val="32"/>
          <w:szCs w:val="32"/>
        </w:rPr>
        <w:t>.</w:t>
      </w:r>
      <w:r>
        <w:rPr>
          <w:rFonts w:ascii="Times New Roman" w:hAnsi="Times New Roman" w:eastAsia="仿宋_GB2312"/>
          <w:sz w:val="32"/>
          <w:szCs w:val="32"/>
        </w:rPr>
        <w:t>当地节能建筑单位建筑面积年度能源消耗量指标：采暖[　  ]w/m2，制冷[　  ] w/m2</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2</w:t>
      </w:r>
      <w:r>
        <w:rPr>
          <w:rFonts w:hint="eastAsia" w:ascii="Times New Roman" w:hAnsi="Times New Roman" w:eastAsia="仿宋_GB2312"/>
          <w:sz w:val="32"/>
          <w:szCs w:val="32"/>
        </w:rPr>
        <w:t>.</w:t>
      </w:r>
      <w:r>
        <w:rPr>
          <w:rFonts w:ascii="Times New Roman" w:hAnsi="Times New Roman" w:eastAsia="仿宋_GB2312"/>
          <w:sz w:val="32"/>
          <w:szCs w:val="32"/>
        </w:rPr>
        <w:t>本建筑单位建筑面积年度能源消耗量指标:采暖[　  ]w/m2、制冷[　  ]w/m2</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Times New Roman" w:hAnsi="Times New Roman" w:eastAsia="仿宋_GB2312"/>
          <w:sz w:val="32"/>
          <w:szCs w:val="32"/>
        </w:rPr>
        <w:t>.</w:t>
      </w:r>
      <w:r>
        <w:rPr>
          <w:rFonts w:ascii="Times New Roman" w:hAnsi="Times New Roman" w:eastAsia="仿宋_GB2312"/>
          <w:sz w:val="32"/>
          <w:szCs w:val="32"/>
        </w:rPr>
        <w:t>本建筑建筑物用能系统效率：热（冷）源效率[　　 %]、管网输送效率[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4</w:t>
      </w:r>
      <w:r>
        <w:rPr>
          <w:rFonts w:hint="eastAsia" w:ascii="Times New Roman" w:hAnsi="Times New Roman" w:eastAsia="仿宋_GB2312"/>
          <w:sz w:val="32"/>
          <w:szCs w:val="32"/>
        </w:rPr>
        <w:t>.</w:t>
      </w:r>
      <w:r>
        <w:rPr>
          <w:rFonts w:ascii="Times New Roman" w:hAnsi="Times New Roman" w:eastAsia="仿宋_GB2312"/>
          <w:sz w:val="32"/>
          <w:szCs w:val="32"/>
        </w:rPr>
        <w:t>本建筑与建筑节能标准比较：[　　  ][A]优于标准规定 [B]满足标准规定 [C]不符合标准规定</w:t>
      </w:r>
    </w:p>
    <w:p>
      <w:pPr>
        <w:snapToGrid w:val="0"/>
        <w:spacing w:line="560" w:lineRule="exact"/>
        <w:ind w:firstLine="622" w:firstLineChars="200"/>
        <w:rPr>
          <w:rFonts w:ascii="黑体" w:hAnsi="黑体" w:eastAsia="黑体"/>
          <w:sz w:val="32"/>
          <w:szCs w:val="32"/>
        </w:rPr>
      </w:pPr>
      <w:r>
        <w:rPr>
          <w:rFonts w:ascii="黑体" w:hAnsi="黑体" w:eastAsia="黑体"/>
          <w:sz w:val="32"/>
          <w:szCs w:val="32"/>
        </w:rPr>
        <w:t>六、绿色建筑星级</w:t>
      </w:r>
    </w:p>
    <w:p>
      <w:pPr>
        <w:snapToGrid w:val="0"/>
        <w:spacing w:line="560" w:lineRule="exact"/>
        <w:ind w:firstLine="622"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该项目绿色建筑设计标准：[　  ]</w:t>
      </w:r>
    </w:p>
    <w:p>
      <w:pPr>
        <w:snapToGrid w:val="0"/>
        <w:spacing w:line="560" w:lineRule="exact"/>
        <w:ind w:firstLine="622" w:firstLineChars="200"/>
        <w:rPr>
          <w:rFonts w:ascii="Times New Roman" w:hAnsi="Times New Roman" w:eastAsia="仿宋_GB2312"/>
          <w:sz w:val="32"/>
          <w:szCs w:val="32"/>
        </w:rPr>
      </w:pPr>
      <w:r>
        <w:rPr>
          <w:rFonts w:ascii="Times New Roman" w:hAnsi="Times New Roman" w:eastAsia="仿宋_GB2312"/>
          <w:sz w:val="32"/>
          <w:szCs w:val="32"/>
        </w:rPr>
        <w:t>[A]基本级 [B]一星级 [C]二星级 [D]三星级</w:t>
      </w:r>
    </w:p>
    <w:p>
      <w:pPr>
        <w:snapToGrid w:val="0"/>
        <w:spacing w:line="560" w:lineRule="exact"/>
        <w:ind w:firstLine="622" w:firstLineChars="200"/>
        <w:rPr>
          <w:rFonts w:ascii="Times New Roman" w:hAnsi="Times New Roman" w:eastAsia="仿宋_GB2312"/>
          <w:sz w:val="32"/>
          <w:szCs w:val="32"/>
        </w:rPr>
      </w:pPr>
    </w:p>
    <w:p>
      <w:pPr>
        <w:snapToGrid w:val="0"/>
        <w:spacing w:line="560" w:lineRule="exact"/>
        <w:ind w:firstLine="622" w:firstLineChars="200"/>
        <w:rPr>
          <w:rFonts w:ascii="Times New Roman" w:hAnsi="Times New Roman" w:eastAsia="仿宋_GB2312"/>
          <w:sz w:val="32"/>
          <w:szCs w:val="32"/>
        </w:rPr>
      </w:pPr>
    </w:p>
    <w:p>
      <w:pPr>
        <w:spacing w:line="560" w:lineRule="exact"/>
        <w:rPr>
          <w:rFonts w:ascii="Times New Roman" w:hAnsi="Times New Roman" w:eastAsia="仿宋_GB2312"/>
          <w:sz w:val="32"/>
          <w:szCs w:val="32"/>
        </w:rPr>
      </w:pPr>
    </w:p>
    <w:p>
      <w:pPr>
        <w:snapToGrid w:val="0"/>
        <w:spacing w:line="560" w:lineRule="exact"/>
        <w:rPr>
          <w:rFonts w:ascii="Times New Roman" w:hAnsi="Times New Roman" w:eastAsia="仿宋_GB2312"/>
          <w:sz w:val="32"/>
          <w:szCs w:val="32"/>
        </w:rPr>
      </w:pPr>
    </w:p>
    <w:p>
      <w:pPr>
        <w:spacing w:line="560" w:lineRule="exact"/>
        <w:rPr>
          <w:rFonts w:ascii="Times New Roman" w:hAnsi="Times New Roman" w:eastAsia="仿宋_GB2312"/>
          <w:color w:val="000000"/>
          <w:sz w:val="32"/>
          <w:szCs w:val="32"/>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bookmarkStart w:id="2" w:name="_GoBack"/>
      <w:bookmarkEnd w:id="2"/>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spacing w:line="480" w:lineRule="exact"/>
        <w:rPr>
          <w:rFonts w:ascii="Times New Roman" w:hAnsi="Times New Roman"/>
          <w:sz w:val="44"/>
          <w:szCs w:val="44"/>
        </w:rPr>
      </w:pPr>
    </w:p>
    <w:p>
      <w:pPr>
        <w:pBdr>
          <w:top w:val="single" w:color="auto" w:sz="4" w:space="1"/>
          <w:bottom w:val="single" w:color="auto" w:sz="4" w:space="1"/>
        </w:pBdr>
        <w:spacing w:line="600" w:lineRule="exact"/>
        <w:rPr>
          <w:szCs w:val="21"/>
        </w:rPr>
      </w:pPr>
      <w:r>
        <w:rPr>
          <w:rFonts w:ascii="Times New Roman" w:hAnsi="Times New Roman" w:eastAsia="仿宋_GB2312"/>
          <w:sz w:val="28"/>
          <w:szCs w:val="28"/>
        </w:rPr>
        <w:t xml:space="preserve"> 连云港市住房和城乡建设局办公室            </w:t>
      </w:r>
      <w:r>
        <w:rPr>
          <w:rFonts w:hint="eastAsia" w:ascii="Times New Roman" w:hAnsi="Times New Roman" w:eastAsia="仿宋_GB2312"/>
          <w:sz w:val="28"/>
          <w:szCs w:val="28"/>
        </w:rPr>
        <w:t xml:space="preserve"> </w:t>
      </w:r>
      <w:r>
        <w:rPr>
          <w:rFonts w:ascii="Times New Roman" w:hAnsi="Times New Roman" w:eastAsia="仿宋_GB2312"/>
          <w:sz w:val="28"/>
          <w:szCs w:val="28"/>
        </w:rPr>
        <w:t>20</w:t>
      </w:r>
      <w:r>
        <w:rPr>
          <w:rFonts w:hint="eastAsia" w:ascii="Times New Roman" w:hAnsi="Times New Roman" w:eastAsia="仿宋_GB2312"/>
          <w:sz w:val="28"/>
          <w:szCs w:val="28"/>
        </w:rPr>
        <w:t>21</w:t>
      </w:r>
      <w:r>
        <w:rPr>
          <w:rFonts w:ascii="Times New Roman" w:hAnsi="Times New Roman" w:eastAsia="仿宋_GB2312"/>
          <w:sz w:val="28"/>
          <w:szCs w:val="28"/>
        </w:rPr>
        <w:t>年</w:t>
      </w:r>
      <w:r>
        <w:rPr>
          <w:rFonts w:hint="eastAsia" w:ascii="Times New Roman" w:hAnsi="Times New Roman" w:eastAsia="仿宋_GB2312"/>
          <w:sz w:val="28"/>
          <w:szCs w:val="28"/>
        </w:rPr>
        <w:t>9</w:t>
      </w:r>
      <w:r>
        <w:rPr>
          <w:rFonts w:ascii="Times New Roman" w:hAnsi="Times New Roman" w:eastAsia="仿宋_GB2312"/>
          <w:sz w:val="28"/>
          <w:szCs w:val="28"/>
        </w:rPr>
        <w:t>月</w:t>
      </w:r>
      <w:r>
        <w:rPr>
          <w:rFonts w:hint="eastAsia" w:ascii="Times New Roman" w:hAnsi="Times New Roman" w:eastAsia="仿宋_GB2312"/>
          <w:sz w:val="28"/>
          <w:szCs w:val="28"/>
        </w:rPr>
        <w:t>26</w:t>
      </w:r>
      <w:r>
        <w:rPr>
          <w:rFonts w:ascii="Times New Roman" w:hAnsi="Times New Roman" w:eastAsia="仿宋_GB2312"/>
          <w:sz w:val="28"/>
          <w:szCs w:val="28"/>
        </w:rPr>
        <w:t xml:space="preserve">日印发 </w:t>
      </w:r>
      <w:r>
        <w:rPr>
          <w:rFonts w:eastAsia="仿宋_GB2312"/>
          <w:b/>
          <w:bCs/>
          <w:sz w:val="32"/>
          <w:szCs w:val="32"/>
        </w:rPr>
        <mc:AlternateContent>
          <mc:Choice Requires="wps">
            <w:drawing>
              <wp:anchor distT="0" distB="0" distL="114300" distR="114300" simplePos="0" relativeHeight="251660288" behindDoc="0" locked="0" layoutInCell="1" allowOverlap="1">
                <wp:simplePos x="0" y="0"/>
                <wp:positionH relativeFrom="column">
                  <wp:posOffset>28575</wp:posOffset>
                </wp:positionH>
                <wp:positionV relativeFrom="paragraph">
                  <wp:posOffset>-13439775</wp:posOffset>
                </wp:positionV>
                <wp:extent cx="5572125" cy="635"/>
                <wp:effectExtent l="0" t="0" r="0" b="0"/>
                <wp:wrapNone/>
                <wp:docPr id="2" name="直线 25"/>
                <wp:cNvGraphicFramePr/>
                <a:graphic xmlns:a="http://schemas.openxmlformats.org/drawingml/2006/main">
                  <a:graphicData uri="http://schemas.microsoft.com/office/word/2010/wordprocessingShape">
                    <wps:wsp>
                      <wps:cNvCnPr/>
                      <wps:spPr>
                        <a:xfrm>
                          <a:off x="0" y="0"/>
                          <a:ext cx="5572125" cy="635"/>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25" o:spid="_x0000_s1026" o:spt="20" style="position:absolute;left:0pt;margin-left:2.25pt;margin-top:-1058.25pt;height:0.05pt;width:438.75pt;z-index:251660288;mso-width-relative:page;mso-height-relative:page;" filled="f" stroked="t" coordsize="21600,21600" o:gfxdata="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YSbG3dkAAAANAQAADwAAAAAAAAABACAAAAAiAAAAZHJzL2Rvd25yZXYueG1sUEsBAhQAFAAA&#10;AAgAh07iQIkIT0fuAQAA7AMAAA4AAAAAAAAAAQAgAAAAKAEAAGRycy9lMm9Eb2MueG1sUEsFBgAA&#10;AAAGAAYAWQEAAIgFAAAAAA==&#10;">
                <v:fill on="f" focussize="0,0"/>
                <v:stroke color="#000000" joinstyle="round"/>
                <v:imagedata o:title=""/>
                <o:lock v:ext="edit" aspectratio="f"/>
              </v:line>
            </w:pict>
          </mc:Fallback>
        </mc:AlternateContent>
      </w:r>
    </w:p>
    <w:sectPr>
      <w:headerReference r:id="rId7" w:type="default"/>
      <w:footerReference r:id="rId8" w:type="default"/>
      <w:footerReference r:id="rId9" w:type="even"/>
      <w:pgSz w:w="11906" w:h="16838"/>
      <w:pgMar w:top="2098" w:right="1474" w:bottom="1985" w:left="1588" w:header="851" w:footer="992" w:gutter="0"/>
      <w:pgNumType w:fmt="numberInDash"/>
      <w:cols w:space="720" w:num="1"/>
      <w:docGrid w:type="linesAndChars" w:linePitch="481" w:charSpace="-184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Batang">
    <w:panose1 w:val="02030600000101010101"/>
    <w:charset w:val="81"/>
    <w:family w:val="roman"/>
    <w:pitch w:val="default"/>
    <w:sig w:usb0="B00002AF" w:usb1="69D77CFB" w:usb2="00000030" w:usb3="00000000" w:csb0="4008009F" w:csb1="DFD7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- 1 -</w:t>
                    </w:r>
                    <w:r>
                      <w:rPr>
                        <w:rFonts w:ascii="Times New Roman" w:hAnsi="Times New Roman"/>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- 2 -</w:t>
                          </w:r>
                          <w:r>
                            <w:rPr>
                              <w:rFonts w:ascii="Times New Roman" w:hAnsi="Times New Roman"/>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5"/>
                      <w:rPr>
                        <w:rFonts w:ascii="Times New Roman" w:hAnsi="Times New Roman"/>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- 2 -</w:t>
                    </w:r>
                    <w:r>
                      <w:rPr>
                        <w:rFonts w:ascii="Times New Roman" w:hAnsi="Times New Roman"/>
                        <w:sz w:val="28"/>
                        <w:szCs w:val="28"/>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840"/>
      <w:rPr>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- 11 -</w:t>
                          </w:r>
                          <w:r>
                            <w:rPr>
                              <w:rFonts w:ascii="Times New Roman" w:hAnsi="Times New Roman"/>
                              <w:sz w:val="28"/>
                              <w:szCs w:val="28"/>
                            </w:rPr>
                            <w:fldChar w:fldCharType="end"/>
                          </w:r>
                        </w:p>
                      </w:txbxContent>
                    </wps:txbx>
                    <wps:bodyPr vert="horz" wrap="none" lIns="0" tIns="0" rIns="0" bIns="0" anchor="t"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SJnjx9wBAAC+AwAADgAAAAAAAAAB&#10;ACAAAAAeAQAAZHJzL2Uyb0RvYy54bWxQSwUGAAAAAAYABgBZAQAAbAUAAAAA&#10;">
              <v:fill on="f" focussize="0,0"/>
              <v:stroke on="f"/>
              <v:imagedata o:title=""/>
              <o:lock v:ext="edit" aspectratio="f"/>
              <v:textbox inset="0mm,0mm,0mm,0mm" style="mso-fit-shape-to-text:t;">
                <w:txbxContent>
                  <w:p>
                    <w:pPr>
                      <w:pStyle w:val="5"/>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- 11 -</w:t>
                    </w:r>
                    <w:r>
                      <w:rPr>
                        <w:rFonts w:ascii="Times New Roman" w:hAnsi="Times New Roman"/>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pStyle w:val="5"/>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- 12 -</w:t>
                          </w:r>
                          <w:r>
                            <w:rPr>
                              <w:rFonts w:ascii="Times New Roman" w:hAnsi="Times New Roman"/>
                              <w:sz w:val="28"/>
                              <w:szCs w:val="28"/>
                            </w:rPr>
                            <w:fldChar w:fldCharType="end"/>
                          </w:r>
                        </w:p>
                      </w:txbxContent>
                    </wps:txbx>
                    <wps:bodyPr vert="horz" wrap="none" lIns="0" tIns="0" rIns="0" bIns="0" anchor="t"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DOqXm5zwAAAAUBAAAPAAAAAAAAAAEAIAAA&#10;ACIAAABkcnMvZG93bnJldi54bWxQSwECFAAUAAAACACHTuJAY9d8RtwBAAC+AwAADgAAAAAAAAAB&#10;ACAAAAAeAQAAZHJzL2Uyb0RvYy54bWxQSwUGAAAAAAYABgBZAQAAbAUAAAAA&#10;">
              <v:fill on="f" focussize="0,0"/>
              <v:stroke on="f"/>
              <v:imagedata o:title=""/>
              <o:lock v:ext="edit" aspectratio="f"/>
              <v:textbox inset="0mm,0mm,0mm,0mm" style="mso-fit-shape-to-text:t;">
                <w:txbxContent>
                  <w:p>
                    <w:pPr>
                      <w:pStyle w:val="5"/>
                      <w:rPr>
                        <w:rFonts w:ascii="Times New Roman" w:hAnsi="Times New Roman" w:eastAsia="微软雅黑"/>
                        <w:sz w:val="28"/>
                        <w:szCs w:val="28"/>
                      </w:rPr>
                    </w:pPr>
                    <w:r>
                      <w:rPr>
                        <w:rFonts w:ascii="Times New Roman" w:hAnsi="Times New Roman"/>
                        <w:sz w:val="28"/>
                        <w:szCs w:val="28"/>
                      </w:rPr>
                      <w:fldChar w:fldCharType="begin"/>
                    </w:r>
                    <w:r>
                      <w:rPr>
                        <w:rFonts w:ascii="Times New Roman" w:hAnsi="Times New Roman"/>
                        <w:sz w:val="28"/>
                        <w:szCs w:val="28"/>
                      </w:rPr>
                      <w:instrText xml:space="preserve"> PAGE  \* MERGEFORMAT </w:instrText>
                    </w:r>
                    <w:r>
                      <w:rPr>
                        <w:rFonts w:ascii="Times New Roman" w:hAnsi="Times New Roman"/>
                        <w:sz w:val="28"/>
                        <w:szCs w:val="28"/>
                      </w:rPr>
                      <w:fldChar w:fldCharType="separate"/>
                    </w:r>
                    <w:r>
                      <w:rPr>
                        <w:rFonts w:ascii="Times New Roman" w:hAnsi="Times New Roman"/>
                        <w:sz w:val="28"/>
                        <w:szCs w:val="28"/>
                      </w:rPr>
                      <w:t>- 12 -</w:t>
                    </w:r>
                    <w:r>
                      <w:rPr>
                        <w:rFonts w:ascii="Times New Roman" w:hAnsi="Times New Roman"/>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between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none" w:color="auto" w:sz="0" w:space="0"/>
        <w:left w:val="none" w:color="auto" w:sz="0" w:space="0"/>
        <w:bottom w:val="none" w:color="auto" w:sz="0" w:space="1"/>
        <w:right w:val="none" w:color="auto" w:sz="0" w:space="0"/>
        <w:between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evenAndOddHeaders w:val="1"/>
  <w:drawingGridHorizontalSpacing w:val="201"/>
  <w:drawingGridVerticalSpacing w:val="481"/>
  <w:displayHorizontalDrawingGridEvery w:val="0"/>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1195"/>
    <w:rsid w:val="0000605A"/>
    <w:rsid w:val="00011173"/>
    <w:rsid w:val="00013CA3"/>
    <w:rsid w:val="00016461"/>
    <w:rsid w:val="000312D8"/>
    <w:rsid w:val="00072450"/>
    <w:rsid w:val="00073A33"/>
    <w:rsid w:val="00074698"/>
    <w:rsid w:val="00074A50"/>
    <w:rsid w:val="00080486"/>
    <w:rsid w:val="000853BC"/>
    <w:rsid w:val="000A0AE1"/>
    <w:rsid w:val="000A60AA"/>
    <w:rsid w:val="000B3DE1"/>
    <w:rsid w:val="000C5AEA"/>
    <w:rsid w:val="000D2173"/>
    <w:rsid w:val="000D5797"/>
    <w:rsid w:val="001072CD"/>
    <w:rsid w:val="00107D6E"/>
    <w:rsid w:val="00142D14"/>
    <w:rsid w:val="00145712"/>
    <w:rsid w:val="00146E58"/>
    <w:rsid w:val="001470F1"/>
    <w:rsid w:val="00165C71"/>
    <w:rsid w:val="001B1A6D"/>
    <w:rsid w:val="001B4897"/>
    <w:rsid w:val="001B5DA3"/>
    <w:rsid w:val="001C19EA"/>
    <w:rsid w:val="001D14E7"/>
    <w:rsid w:val="001D60BA"/>
    <w:rsid w:val="001E13F8"/>
    <w:rsid w:val="001E2498"/>
    <w:rsid w:val="00200A7C"/>
    <w:rsid w:val="00200C11"/>
    <w:rsid w:val="00203C28"/>
    <w:rsid w:val="0021782F"/>
    <w:rsid w:val="00224BD0"/>
    <w:rsid w:val="00236ED8"/>
    <w:rsid w:val="0025441D"/>
    <w:rsid w:val="00257D0A"/>
    <w:rsid w:val="00263C85"/>
    <w:rsid w:val="002641F8"/>
    <w:rsid w:val="002875FA"/>
    <w:rsid w:val="00291195"/>
    <w:rsid w:val="002A6DDE"/>
    <w:rsid w:val="002B0217"/>
    <w:rsid w:val="002B3237"/>
    <w:rsid w:val="002C09F4"/>
    <w:rsid w:val="002C7B5C"/>
    <w:rsid w:val="00312EB5"/>
    <w:rsid w:val="00320DB4"/>
    <w:rsid w:val="0034580A"/>
    <w:rsid w:val="0034660A"/>
    <w:rsid w:val="003475D5"/>
    <w:rsid w:val="003507FA"/>
    <w:rsid w:val="00355FC6"/>
    <w:rsid w:val="0035637F"/>
    <w:rsid w:val="0037083C"/>
    <w:rsid w:val="00374499"/>
    <w:rsid w:val="003A6186"/>
    <w:rsid w:val="003D4B3C"/>
    <w:rsid w:val="003D6FDF"/>
    <w:rsid w:val="0040228A"/>
    <w:rsid w:val="00405656"/>
    <w:rsid w:val="00433220"/>
    <w:rsid w:val="0044383F"/>
    <w:rsid w:val="00443FAD"/>
    <w:rsid w:val="004636AC"/>
    <w:rsid w:val="00476047"/>
    <w:rsid w:val="00490C67"/>
    <w:rsid w:val="004B0090"/>
    <w:rsid w:val="004C4BA7"/>
    <w:rsid w:val="004E07FA"/>
    <w:rsid w:val="004E7AA6"/>
    <w:rsid w:val="004F122F"/>
    <w:rsid w:val="004F4D68"/>
    <w:rsid w:val="0050785E"/>
    <w:rsid w:val="005103D7"/>
    <w:rsid w:val="00515847"/>
    <w:rsid w:val="00520560"/>
    <w:rsid w:val="005261F1"/>
    <w:rsid w:val="005349DF"/>
    <w:rsid w:val="00544F72"/>
    <w:rsid w:val="00550567"/>
    <w:rsid w:val="005522DF"/>
    <w:rsid w:val="00577796"/>
    <w:rsid w:val="00581114"/>
    <w:rsid w:val="0058314D"/>
    <w:rsid w:val="0058465D"/>
    <w:rsid w:val="00586BD8"/>
    <w:rsid w:val="005900F7"/>
    <w:rsid w:val="005A1F6E"/>
    <w:rsid w:val="005B7DB5"/>
    <w:rsid w:val="005C58FB"/>
    <w:rsid w:val="005D51C2"/>
    <w:rsid w:val="005F7E37"/>
    <w:rsid w:val="0061567B"/>
    <w:rsid w:val="00631274"/>
    <w:rsid w:val="00641602"/>
    <w:rsid w:val="00642810"/>
    <w:rsid w:val="006654FE"/>
    <w:rsid w:val="006711A0"/>
    <w:rsid w:val="00677DC0"/>
    <w:rsid w:val="0068621D"/>
    <w:rsid w:val="006A4A9E"/>
    <w:rsid w:val="006A4B50"/>
    <w:rsid w:val="006A5E59"/>
    <w:rsid w:val="006B4A00"/>
    <w:rsid w:val="006D2E86"/>
    <w:rsid w:val="006D5E4A"/>
    <w:rsid w:val="006E3400"/>
    <w:rsid w:val="006E636D"/>
    <w:rsid w:val="006F38B1"/>
    <w:rsid w:val="0072313F"/>
    <w:rsid w:val="00743E62"/>
    <w:rsid w:val="00744C4A"/>
    <w:rsid w:val="0074729F"/>
    <w:rsid w:val="00754BBD"/>
    <w:rsid w:val="00767FA1"/>
    <w:rsid w:val="00782F05"/>
    <w:rsid w:val="00791F54"/>
    <w:rsid w:val="00797C21"/>
    <w:rsid w:val="007B4F5A"/>
    <w:rsid w:val="007C50E9"/>
    <w:rsid w:val="007D6735"/>
    <w:rsid w:val="007E6B68"/>
    <w:rsid w:val="00800993"/>
    <w:rsid w:val="0080211E"/>
    <w:rsid w:val="00811513"/>
    <w:rsid w:val="00830101"/>
    <w:rsid w:val="00836C33"/>
    <w:rsid w:val="00861597"/>
    <w:rsid w:val="008623E2"/>
    <w:rsid w:val="00884B2D"/>
    <w:rsid w:val="008858E7"/>
    <w:rsid w:val="008901FB"/>
    <w:rsid w:val="008A6A09"/>
    <w:rsid w:val="008A7876"/>
    <w:rsid w:val="008D3D99"/>
    <w:rsid w:val="008D5871"/>
    <w:rsid w:val="008F11AC"/>
    <w:rsid w:val="0091089A"/>
    <w:rsid w:val="00912F51"/>
    <w:rsid w:val="009156C8"/>
    <w:rsid w:val="00924747"/>
    <w:rsid w:val="00944CEC"/>
    <w:rsid w:val="009450A7"/>
    <w:rsid w:val="009477D3"/>
    <w:rsid w:val="00950040"/>
    <w:rsid w:val="00950883"/>
    <w:rsid w:val="00954D08"/>
    <w:rsid w:val="0096349F"/>
    <w:rsid w:val="00975402"/>
    <w:rsid w:val="00985843"/>
    <w:rsid w:val="009900CF"/>
    <w:rsid w:val="00991D51"/>
    <w:rsid w:val="009A5DD2"/>
    <w:rsid w:val="009B5357"/>
    <w:rsid w:val="009C2F26"/>
    <w:rsid w:val="009D3615"/>
    <w:rsid w:val="009D5B34"/>
    <w:rsid w:val="009E7B6D"/>
    <w:rsid w:val="009F755D"/>
    <w:rsid w:val="00A12007"/>
    <w:rsid w:val="00A14B3C"/>
    <w:rsid w:val="00A21CB5"/>
    <w:rsid w:val="00A24EB4"/>
    <w:rsid w:val="00A333D0"/>
    <w:rsid w:val="00A4533F"/>
    <w:rsid w:val="00AA154F"/>
    <w:rsid w:val="00AC109D"/>
    <w:rsid w:val="00AC39CA"/>
    <w:rsid w:val="00AD178E"/>
    <w:rsid w:val="00AD63F2"/>
    <w:rsid w:val="00AE17AE"/>
    <w:rsid w:val="00AF1F84"/>
    <w:rsid w:val="00AF37C9"/>
    <w:rsid w:val="00AF4FB6"/>
    <w:rsid w:val="00B0717B"/>
    <w:rsid w:val="00B11463"/>
    <w:rsid w:val="00B22480"/>
    <w:rsid w:val="00B32EA9"/>
    <w:rsid w:val="00B32FA7"/>
    <w:rsid w:val="00B521F6"/>
    <w:rsid w:val="00B55BEB"/>
    <w:rsid w:val="00B81E20"/>
    <w:rsid w:val="00B92761"/>
    <w:rsid w:val="00BB7783"/>
    <w:rsid w:val="00BC7EFB"/>
    <w:rsid w:val="00BE058A"/>
    <w:rsid w:val="00BE7A7A"/>
    <w:rsid w:val="00BF78F5"/>
    <w:rsid w:val="00C16702"/>
    <w:rsid w:val="00C22E38"/>
    <w:rsid w:val="00C31C9B"/>
    <w:rsid w:val="00C34013"/>
    <w:rsid w:val="00C51465"/>
    <w:rsid w:val="00C841EF"/>
    <w:rsid w:val="00C85530"/>
    <w:rsid w:val="00C8568B"/>
    <w:rsid w:val="00C91BEE"/>
    <w:rsid w:val="00C92CCD"/>
    <w:rsid w:val="00C93AC4"/>
    <w:rsid w:val="00CA7F51"/>
    <w:rsid w:val="00CB0E81"/>
    <w:rsid w:val="00CB5A9E"/>
    <w:rsid w:val="00CC0C12"/>
    <w:rsid w:val="00CF346B"/>
    <w:rsid w:val="00D21294"/>
    <w:rsid w:val="00D21B76"/>
    <w:rsid w:val="00D3276F"/>
    <w:rsid w:val="00D417CF"/>
    <w:rsid w:val="00D612D0"/>
    <w:rsid w:val="00D72911"/>
    <w:rsid w:val="00D951AB"/>
    <w:rsid w:val="00DB7FCC"/>
    <w:rsid w:val="00DC156C"/>
    <w:rsid w:val="00DD5015"/>
    <w:rsid w:val="00DE4E91"/>
    <w:rsid w:val="00E0333A"/>
    <w:rsid w:val="00E16507"/>
    <w:rsid w:val="00E333B2"/>
    <w:rsid w:val="00E47AF2"/>
    <w:rsid w:val="00E51949"/>
    <w:rsid w:val="00E5619F"/>
    <w:rsid w:val="00E5791C"/>
    <w:rsid w:val="00E61E03"/>
    <w:rsid w:val="00E642B4"/>
    <w:rsid w:val="00E6436B"/>
    <w:rsid w:val="00E71CD3"/>
    <w:rsid w:val="00EA5205"/>
    <w:rsid w:val="00EC3FD3"/>
    <w:rsid w:val="00ED622C"/>
    <w:rsid w:val="00EE0E2C"/>
    <w:rsid w:val="00EE1969"/>
    <w:rsid w:val="00EF6CDF"/>
    <w:rsid w:val="00F10243"/>
    <w:rsid w:val="00F111FA"/>
    <w:rsid w:val="00F25331"/>
    <w:rsid w:val="00F32489"/>
    <w:rsid w:val="00F55D43"/>
    <w:rsid w:val="00F63DC0"/>
    <w:rsid w:val="00F65FF8"/>
    <w:rsid w:val="00F729EC"/>
    <w:rsid w:val="00F85144"/>
    <w:rsid w:val="00FA3444"/>
    <w:rsid w:val="00FB4FE3"/>
    <w:rsid w:val="00FB6E37"/>
    <w:rsid w:val="00FC0999"/>
    <w:rsid w:val="00FC57C1"/>
    <w:rsid w:val="00FD4164"/>
    <w:rsid w:val="00FF5FC9"/>
    <w:rsid w:val="1C8D4426"/>
    <w:rsid w:val="1E2C26EB"/>
    <w:rsid w:val="1F3A7B4B"/>
    <w:rsid w:val="23F30A91"/>
    <w:rsid w:val="25102021"/>
    <w:rsid w:val="2AEE3492"/>
    <w:rsid w:val="2DA02EE8"/>
    <w:rsid w:val="37DD6C7B"/>
    <w:rsid w:val="45D25817"/>
    <w:rsid w:val="4BB73C10"/>
    <w:rsid w:val="544B6F9E"/>
    <w:rsid w:val="5D964B36"/>
    <w:rsid w:val="5E4B16D0"/>
    <w:rsid w:val="5EC24654"/>
    <w:rsid w:val="64B940F2"/>
    <w:rsid w:val="70CD5179"/>
    <w:rsid w:val="7285772D"/>
    <w:rsid w:val="73A9069D"/>
    <w:rsid w:val="775E5B74"/>
    <w:rsid w:val="77C02A00"/>
    <w:rsid w:val="7B1B39CF"/>
    <w:rsid w:val="7E393074"/>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qFormat/>
    <w:uiPriority w:val="0"/>
    <w:pPr>
      <w:ind w:firstLine="720" w:firstLineChars="200"/>
    </w:pPr>
    <w:rPr>
      <w:rFonts w:ascii="黑体" w:eastAsia="黑体"/>
      <w:sz w:val="36"/>
      <w:szCs w:val="32"/>
    </w:rPr>
  </w:style>
  <w:style w:type="paragraph" w:styleId="3">
    <w:name w:val="Date"/>
    <w:basedOn w:val="1"/>
    <w:next w:val="1"/>
    <w:link w:val="15"/>
    <w:qFormat/>
    <w:uiPriority w:val="0"/>
    <w:pPr>
      <w:ind w:left="100" w:leftChars="2500"/>
    </w:pPr>
  </w:style>
  <w:style w:type="paragraph" w:styleId="4">
    <w:name w:val="Balloon Text"/>
    <w:basedOn w:val="1"/>
    <w:link w:val="14"/>
    <w:qFormat/>
    <w:uiPriority w:val="0"/>
    <w:rPr>
      <w:sz w:val="18"/>
      <w:szCs w:val="18"/>
    </w:rPr>
  </w:style>
  <w:style w:type="paragraph" w:styleId="5">
    <w:name w:val="footer"/>
    <w:basedOn w:val="1"/>
    <w:link w:val="13"/>
    <w:qFormat/>
    <w:uiPriority w:val="99"/>
    <w:pPr>
      <w:tabs>
        <w:tab w:val="center" w:pos="4153"/>
        <w:tab w:val="right" w:pos="8306"/>
      </w:tabs>
      <w:snapToGrid w:val="0"/>
      <w:jc w:val="left"/>
    </w:pPr>
    <w:rPr>
      <w:sz w:val="18"/>
      <w:szCs w:val="18"/>
    </w:rPr>
  </w:style>
  <w:style w:type="paragraph" w:styleId="6">
    <w:name w:val="header"/>
    <w:basedOn w:val="1"/>
    <w:link w:val="12"/>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widowControl/>
      <w:spacing w:before="100" w:beforeAutospacing="1" w:after="100" w:afterAutospacing="1"/>
      <w:jc w:val="left"/>
    </w:pPr>
    <w:rPr>
      <w:kern w:val="0"/>
      <w:sz w:val="24"/>
    </w:rPr>
  </w:style>
  <w:style w:type="table" w:styleId="9">
    <w:name w:val="Table Grid"/>
    <w:basedOn w:val="8"/>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11">
    <w:name w:val="Default"/>
    <w:qFormat/>
    <w:uiPriority w:val="0"/>
    <w:pPr>
      <w:widowControl w:val="0"/>
      <w:autoSpaceDE w:val="0"/>
      <w:autoSpaceDN w:val="0"/>
      <w:adjustRightInd w:val="0"/>
    </w:pPr>
    <w:rPr>
      <w:rFonts w:ascii="方正小标宋_GBK" w:hAnsi="方正小标宋_GBK" w:eastAsia="微软雅黑" w:cs="方正小标宋_GBK"/>
      <w:color w:val="000000"/>
      <w:sz w:val="24"/>
      <w:szCs w:val="24"/>
      <w:lang w:val="en-US" w:eastAsia="zh-CN" w:bidi="ar-SA"/>
    </w:rPr>
  </w:style>
  <w:style w:type="character" w:customStyle="1" w:styleId="12">
    <w:name w:val="页眉 Char"/>
    <w:link w:val="6"/>
    <w:qFormat/>
    <w:uiPriority w:val="0"/>
    <w:rPr>
      <w:kern w:val="2"/>
      <w:sz w:val="18"/>
      <w:szCs w:val="18"/>
    </w:rPr>
  </w:style>
  <w:style w:type="character" w:customStyle="1" w:styleId="13">
    <w:name w:val="页脚 Char"/>
    <w:link w:val="5"/>
    <w:qFormat/>
    <w:uiPriority w:val="99"/>
    <w:rPr>
      <w:kern w:val="2"/>
      <w:sz w:val="18"/>
      <w:szCs w:val="18"/>
    </w:rPr>
  </w:style>
  <w:style w:type="character" w:customStyle="1" w:styleId="14">
    <w:name w:val="批注框文本 Char"/>
    <w:basedOn w:val="10"/>
    <w:link w:val="4"/>
    <w:qFormat/>
    <w:uiPriority w:val="0"/>
    <w:rPr>
      <w:kern w:val="2"/>
      <w:sz w:val="18"/>
      <w:szCs w:val="18"/>
    </w:rPr>
  </w:style>
  <w:style w:type="character" w:customStyle="1" w:styleId="15">
    <w:name w:val="日期 Char"/>
    <w:basedOn w:val="10"/>
    <w:link w:val="3"/>
    <w:qFormat/>
    <w:uiPriority w:val="0"/>
    <w:rPr>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12</Pages>
  <Words>3221</Words>
  <Characters>3683</Characters>
  <Lines>31</Lines>
  <Paragraphs>8</Paragraphs>
  <TotalTime>44</TotalTime>
  <ScaleCrop>false</ScaleCrop>
  <LinksUpToDate>false</LinksUpToDate>
  <CharactersWithSpaces>4041</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2019-09-16T03:32:00Z</dcterms:created>
  <dc:creator>Billgates</dc:creator>
  <cp:lastModifiedBy>大白奶糖</cp:lastModifiedBy>
  <cp:lastPrinted>2016-05-26T02:05:00Z</cp:lastPrinted>
  <dcterms:modified xsi:type="dcterms:W3CDTF">2021-09-27T01:51:24Z</dcterms:modified>
  <dc:title>徐州市财政局文件</dc:title>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64D959621C8B4719A3F82495F2ABCB4D</vt:lpwstr>
  </property>
</Properties>
</file>