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09EBD7">
      <w:pPr>
        <w:snapToGrid w:val="0"/>
        <w:jc w:val="center"/>
        <w:rPr>
          <w:rFonts w:ascii="方正小标宋简体" w:eastAsia="方正小标宋简体"/>
          <w:color w:val="FF0000"/>
          <w:spacing w:val="30"/>
          <w:w w:val="60"/>
          <w:sz w:val="96"/>
          <w:szCs w:val="96"/>
        </w:rPr>
      </w:pPr>
    </w:p>
    <w:p w14:paraId="520A06CC">
      <w:pPr>
        <w:snapToGrid w:val="0"/>
        <w:jc w:val="center"/>
        <w:rPr>
          <w:rFonts w:ascii="方正小标宋简体" w:eastAsia="方正小标宋简体"/>
          <w:color w:val="FF0000"/>
          <w:spacing w:val="-20"/>
          <w:w w:val="60"/>
          <w:kern w:val="0"/>
          <w:sz w:val="96"/>
          <w:szCs w:val="96"/>
        </w:rPr>
      </w:pPr>
      <w:r>
        <w:rPr>
          <w:rFonts w:hint="eastAsia" w:ascii="方正小标宋简体" w:hAnsi="方正小标宋简体" w:eastAsia="方正小标宋简体" w:cs="方正小标宋简体"/>
          <w:color w:val="FF0000"/>
          <w:spacing w:val="-20"/>
          <w:w w:val="35"/>
          <w:kern w:val="0"/>
          <w:sz w:val="110"/>
          <w:szCs w:val="110"/>
        </w:rPr>
        <w:t>连云港市工程建设项目审批制度改革领导小组办公室文件</w:t>
      </w:r>
    </w:p>
    <w:p w14:paraId="4CD228F3">
      <w:pPr>
        <w:snapToGrid w:val="0"/>
        <w:spacing w:line="480" w:lineRule="exact"/>
        <w:jc w:val="center"/>
        <w:rPr>
          <w:rFonts w:ascii="仿宋_GB2312" w:hAnsi="Batang" w:eastAsia="仿宋_GB2312"/>
          <w:sz w:val="40"/>
          <w:szCs w:val="40"/>
        </w:rPr>
      </w:pPr>
    </w:p>
    <w:p w14:paraId="5D224F85">
      <w:pPr>
        <w:snapToGrid w:val="0"/>
        <w:spacing w:line="440" w:lineRule="exact"/>
        <w:jc w:val="center"/>
        <w:rPr>
          <w:rFonts w:ascii="仿宋_GB2312" w:hAnsi="Batang" w:eastAsia="仿宋_GB2312"/>
          <w:sz w:val="40"/>
          <w:szCs w:val="40"/>
        </w:rPr>
      </w:pPr>
    </w:p>
    <w:p w14:paraId="0619F04A">
      <w:pPr>
        <w:tabs>
          <w:tab w:val="left" w:pos="6290"/>
        </w:tabs>
        <w:snapToGrid w:val="0"/>
        <w:spacing w:beforeLines="10" w:line="440" w:lineRule="exact"/>
        <w:ind w:firstLine="470" w:firstLineChars="147"/>
        <w:jc w:val="center"/>
        <w:rPr>
          <w:rFonts w:ascii="仿宋_GB2312" w:hAnsi="Batang" w:eastAsia="仿宋_GB2312"/>
          <w:sz w:val="32"/>
          <w:szCs w:val="32"/>
        </w:rPr>
      </w:pPr>
      <w:bookmarkStart w:id="0" w:name="doc_mark"/>
      <w:r>
        <w:rPr>
          <w:rFonts w:hint="eastAsia" w:ascii="Times New Roman" w:hAnsi="Times New Roman" w:eastAsia="仿宋_GB2312"/>
          <w:sz w:val="32"/>
          <w:szCs w:val="32"/>
        </w:rPr>
        <w:t>连工改办</w:t>
      </w:r>
      <w:r>
        <w:rPr>
          <w:rFonts w:ascii="Times New Roman" w:hAnsi="Times New Roman" w:eastAsia="仿宋_GB2312"/>
          <w:sz w:val="32"/>
          <w:szCs w:val="32"/>
        </w:rPr>
        <w:t>〔20</w:t>
      </w:r>
      <w:r>
        <w:rPr>
          <w:rFonts w:hint="eastAsia" w:ascii="Times New Roman" w:hAnsi="Times New Roman" w:eastAsia="仿宋_GB2312"/>
          <w:sz w:val="32"/>
          <w:szCs w:val="32"/>
        </w:rPr>
        <w:t>20</w:t>
      </w:r>
      <w:r>
        <w:rPr>
          <w:rFonts w:ascii="Times New Roman" w:hAnsi="Times New Roman" w:eastAsia="仿宋_GB2312"/>
          <w:sz w:val="32"/>
          <w:szCs w:val="32"/>
        </w:rPr>
        <w:t>〕</w:t>
      </w:r>
      <w:r>
        <w:rPr>
          <w:rFonts w:hint="eastAsia" w:ascii="Times New Roman" w:hAnsi="Times New Roman" w:eastAsia="仿宋_GB2312"/>
          <w:sz w:val="32"/>
          <w:szCs w:val="32"/>
          <w:lang w:val="en-US" w:eastAsia="zh-CN"/>
        </w:rPr>
        <w:t>5</w:t>
      </w:r>
      <w:r>
        <w:rPr>
          <w:rFonts w:ascii="Times New Roman" w:hAnsi="Times New Roman" w:eastAsia="仿宋_GB2312"/>
          <w:sz w:val="32"/>
          <w:szCs w:val="32"/>
        </w:rPr>
        <w:t>号</w:t>
      </w:r>
      <w:bookmarkEnd w:id="0"/>
    </w:p>
    <w:p w14:paraId="0803AD39">
      <w:pPr>
        <w:snapToGrid w:val="0"/>
        <w:spacing w:beforeLines="10" w:line="460" w:lineRule="exact"/>
        <w:jc w:val="center"/>
        <w:rPr>
          <w:rFonts w:ascii="仿宋_GB2312" w:hAnsi="Batang" w:eastAsia="仿宋_GB2312"/>
          <w:sz w:val="44"/>
        </w:rPr>
      </w:pPr>
      <w:r>
        <w:rPr>
          <w:sz w:val="44"/>
        </w:rPr>
        <mc:AlternateContent>
          <mc:Choice Requires="wps">
            <w:drawing>
              <wp:anchor distT="0" distB="0" distL="114300" distR="114300" simplePos="0" relativeHeight="251659264" behindDoc="0" locked="0" layoutInCell="1" allowOverlap="1">
                <wp:simplePos x="0" y="0"/>
                <wp:positionH relativeFrom="column">
                  <wp:posOffset>33655</wp:posOffset>
                </wp:positionH>
                <wp:positionV relativeFrom="paragraph">
                  <wp:posOffset>93980</wp:posOffset>
                </wp:positionV>
                <wp:extent cx="5466715" cy="28575"/>
                <wp:effectExtent l="0" t="13970" r="635" b="14605"/>
                <wp:wrapNone/>
                <wp:docPr id="2" name="直接连接符 2"/>
                <wp:cNvGraphicFramePr/>
                <a:graphic xmlns:a="http://schemas.openxmlformats.org/drawingml/2006/main">
                  <a:graphicData uri="http://schemas.microsoft.com/office/word/2010/wordprocessingShape">
                    <wps:wsp>
                      <wps:cNvCnPr/>
                      <wps:spPr>
                        <a:xfrm flipV="1">
                          <a:off x="994410" y="4201795"/>
                          <a:ext cx="5562600" cy="28575"/>
                        </a:xfrm>
                        <a:prstGeom prst="line">
                          <a:avLst/>
                        </a:prstGeom>
                        <a:noFill/>
                        <a:ln w="28575" cap="flat" cmpd="sng" algn="ctr">
                          <a:solidFill>
                            <a:srgbClr val="FF0000"/>
                          </a:solidFill>
                          <a:prstDash val="solid"/>
                        </a:ln>
                        <a:effectLst/>
                      </wps:spPr>
                      <wps:bodyPr/>
                    </wps:wsp>
                  </a:graphicData>
                </a:graphic>
              </wp:anchor>
            </w:drawing>
          </mc:Choice>
          <mc:Fallback>
            <w:pict>
              <v:line id="_x0000_s1026" o:spid="_x0000_s1026" o:spt="20" style="position:absolute;left:0pt;flip:y;margin-left:2.65pt;margin-top:7.4pt;height:2.25pt;width:430.45pt;z-index:251659264;mso-width-relative:page;mso-height-relative:page;" filled="f" stroked="t" coordsize="21600,21600" o:gfxdata="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O7LO+9gAAAAHAQAADwAAAAAAAAABACAAAAAiAAAAZHJzL2Rvd25yZXYueG1sUEsB&#10;AhQAFAAAAAgAh07iQBkxoiD1AQAAwgMAAA4AAAAAAAAAAQAgAAAAJwEAAGRycy9lMm9Eb2MueG1s&#10;UEsFBgAAAAAGAAYAWQEAAI4FAAAAAA==&#10;">
                <v:fill on="f" focussize="0,0"/>
                <v:stroke weight="2.25pt" color="#FF0000" joinstyle="round"/>
                <v:imagedata o:title=""/>
                <o:lock v:ext="edit" aspectratio="f"/>
              </v:line>
            </w:pict>
          </mc:Fallback>
        </mc:AlternateContent>
      </w:r>
    </w:p>
    <w:p w14:paraId="45F4C073">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关于印发《连云港市工程建设项目审批事项</w:t>
      </w:r>
    </w:p>
    <w:p w14:paraId="1388EDE7">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eastAsia="zh-CN"/>
        </w:rPr>
        <w:t>清单》（第二版修订版）的通知</w:t>
      </w:r>
    </w:p>
    <w:p w14:paraId="20C2EC6B">
      <w:pPr>
        <w:keepNext w:val="0"/>
        <w:keepLines w:val="0"/>
        <w:pageBreakBefore w:val="0"/>
        <w:widowControl w:val="0"/>
        <w:kinsoku/>
        <w:wordWrap/>
        <w:overflowPunct/>
        <w:topLinePunct w:val="0"/>
        <w:autoSpaceDE/>
        <w:autoSpaceDN/>
        <w:bidi w:val="0"/>
        <w:adjustRightInd w:val="0"/>
        <w:snapToGrid w:val="0"/>
        <w:spacing w:line="300" w:lineRule="auto"/>
        <w:textAlignment w:val="auto"/>
        <w:rPr>
          <w:rFonts w:hint="eastAsia" w:ascii="Times New Roman" w:hAnsi="Times New Roman" w:eastAsia="仿宋_GB2312" w:cs="仿宋_GB2312"/>
          <w:sz w:val="32"/>
          <w:lang w:val="en-US" w:eastAsia="zh-CN"/>
        </w:rPr>
      </w:pPr>
    </w:p>
    <w:p w14:paraId="252D9213">
      <w:pPr>
        <w:keepNext w:val="0"/>
        <w:keepLines w:val="0"/>
        <w:pageBreakBefore w:val="0"/>
        <w:widowControl w:val="0"/>
        <w:kinsoku/>
        <w:wordWrap/>
        <w:overflowPunct/>
        <w:topLinePunct w:val="0"/>
        <w:autoSpaceDE/>
        <w:autoSpaceDN/>
        <w:bidi w:val="0"/>
        <w:adjustRightInd w:val="0"/>
        <w:snapToGrid w:val="0"/>
        <w:spacing w:line="300" w:lineRule="auto"/>
        <w:textAlignment w:val="auto"/>
        <w:rPr>
          <w:rFonts w:hint="eastAsia" w:ascii="Times New Roman" w:hAnsi="Times New Roman" w:eastAsia="仿宋_GB2312" w:cs="仿宋_GB2312"/>
          <w:sz w:val="32"/>
          <w:lang w:eastAsia="zh-CN"/>
        </w:rPr>
      </w:pPr>
      <w:r>
        <w:rPr>
          <w:rFonts w:hint="eastAsia" w:ascii="Times New Roman" w:hAnsi="Times New Roman" w:eastAsia="仿宋_GB2312" w:cs="仿宋_GB2312"/>
          <w:sz w:val="32"/>
          <w:lang w:eastAsia="zh-CN"/>
        </w:rPr>
        <w:t>各县、区（功能板块）、市各相关单位：</w:t>
      </w:r>
    </w:p>
    <w:p w14:paraId="2A65ED39">
      <w:pPr>
        <w:keepNext w:val="0"/>
        <w:keepLines w:val="0"/>
        <w:pageBreakBefore w:val="0"/>
        <w:widowControl w:val="0"/>
        <w:kinsoku/>
        <w:wordWrap/>
        <w:overflowPunct/>
        <w:topLinePunct w:val="0"/>
        <w:autoSpaceDE/>
        <w:autoSpaceDN/>
        <w:bidi w:val="0"/>
        <w:adjustRightInd w:val="0"/>
        <w:snapToGrid w:val="0"/>
        <w:spacing w:line="300" w:lineRule="auto"/>
        <w:ind w:firstLine="640" w:firstLineChars="200"/>
        <w:textAlignment w:val="auto"/>
        <w:rPr>
          <w:rFonts w:hint="eastAsia" w:ascii="Times New Roman" w:hAnsi="Times New Roman" w:eastAsia="仿宋_GB2312" w:cs="仿宋_GB2312"/>
          <w:sz w:val="32"/>
          <w:lang w:val="en-US" w:eastAsia="zh-CN"/>
        </w:rPr>
      </w:pPr>
      <w:r>
        <w:rPr>
          <w:rFonts w:hint="eastAsia" w:ascii="Times New Roman" w:hAnsi="Times New Roman" w:eastAsia="仿宋_GB2312" w:cs="仿宋_GB2312"/>
          <w:sz w:val="32"/>
          <w:lang w:eastAsia="zh-CN"/>
        </w:rPr>
        <w:t>根据省工改办《关于进一步明确“办理工程建设项目审批”指标评价有关事宜的通知》及相关会议要求，市工改办组织市相关部门对工程建设项目审批事项清单进行修订，经市工程建设项目审批制度改革</w:t>
      </w:r>
      <w:r>
        <w:rPr>
          <w:rFonts w:hint="eastAsia" w:ascii="Times New Roman" w:hAnsi="Times New Roman" w:eastAsia="仿宋_GB2312" w:cs="仿宋_GB2312"/>
          <w:sz w:val="32"/>
          <w:lang w:val="en-US" w:eastAsia="zh-CN"/>
        </w:rPr>
        <w:t>改领导小组研究同意后印发实施。</w:t>
      </w:r>
      <w:r>
        <w:rPr>
          <w:rFonts w:hint="eastAsia" w:ascii="Times New Roman" w:hAnsi="Times New Roman" w:eastAsia="仿宋_GB2312" w:cs="仿宋_GB2312"/>
          <w:sz w:val="32"/>
          <w:lang w:eastAsia="zh-CN"/>
        </w:rPr>
        <w:t>本次修订后保留审批事项</w:t>
      </w:r>
      <w:r>
        <w:rPr>
          <w:rFonts w:hint="eastAsia" w:ascii="Times New Roman" w:hAnsi="Times New Roman" w:eastAsia="仿宋_GB2312" w:cs="仿宋_GB2312"/>
          <w:sz w:val="32"/>
          <w:lang w:val="en-US" w:eastAsia="zh-CN"/>
        </w:rPr>
        <w:t xml:space="preserve">36项，子项42项；挂起审批事项15项，子项19项；取消审批事项20项，子项25项；不列入审批事项5项，子项9项。  </w:t>
      </w:r>
    </w:p>
    <w:p w14:paraId="22C15996">
      <w:pPr>
        <w:keepNext w:val="0"/>
        <w:keepLines w:val="0"/>
        <w:pageBreakBefore w:val="0"/>
        <w:widowControl w:val="0"/>
        <w:kinsoku/>
        <w:wordWrap/>
        <w:overflowPunct/>
        <w:topLinePunct w:val="0"/>
        <w:autoSpaceDE/>
        <w:autoSpaceDN/>
        <w:bidi w:val="0"/>
        <w:adjustRightInd w:val="0"/>
        <w:snapToGrid w:val="0"/>
        <w:spacing w:line="300" w:lineRule="auto"/>
        <w:ind w:firstLine="640" w:firstLineChars="200"/>
        <w:textAlignment w:val="auto"/>
        <w:rPr>
          <w:rFonts w:hint="eastAsia" w:ascii="Times New Roman" w:hAnsi="Times New Roman" w:eastAsia="仿宋_GB2312" w:cs="仿宋_GB2312"/>
          <w:sz w:val="32"/>
          <w:lang w:val="en-US" w:eastAsia="zh-CN"/>
        </w:rPr>
      </w:pPr>
      <w:r>
        <w:rPr>
          <w:rFonts w:hint="eastAsia" w:ascii="Times New Roman" w:hAnsi="Times New Roman" w:eastAsia="仿宋_GB2312" w:cs="仿宋_GB2312"/>
          <w:sz w:val="32"/>
          <w:lang w:eastAsia="zh-CN"/>
        </w:rPr>
        <w:t>在执行过程中遇到的问题，请向市工程建设项目审批制度改革领导小组办公室反映。今后，我市将根据国家和省改革要求对审批事项清单进行动态调整。</w:t>
      </w:r>
    </w:p>
    <w:p w14:paraId="5691E641">
      <w:pPr>
        <w:keepNext w:val="0"/>
        <w:keepLines w:val="0"/>
        <w:pageBreakBefore w:val="0"/>
        <w:widowControl w:val="0"/>
        <w:kinsoku/>
        <w:wordWrap/>
        <w:overflowPunct/>
        <w:topLinePunct w:val="0"/>
        <w:autoSpaceDE/>
        <w:autoSpaceDN/>
        <w:bidi w:val="0"/>
        <w:adjustRightInd w:val="0"/>
        <w:snapToGrid w:val="0"/>
        <w:spacing w:line="300" w:lineRule="auto"/>
        <w:ind w:firstLine="640" w:firstLineChars="200"/>
        <w:textAlignment w:val="auto"/>
        <w:rPr>
          <w:rFonts w:hint="eastAsia" w:ascii="Times New Roman" w:hAnsi="Times New Roman" w:eastAsia="仿宋_GB2312" w:cs="仿宋_GB2312"/>
          <w:sz w:val="32"/>
          <w:lang w:val="en-US" w:eastAsia="zh-CN"/>
        </w:rPr>
      </w:pPr>
      <w:r>
        <w:rPr>
          <w:rFonts w:hint="eastAsia" w:ascii="Times New Roman" w:hAnsi="Times New Roman" w:eastAsia="仿宋_GB2312" w:cs="仿宋_GB2312"/>
          <w:sz w:val="32"/>
          <w:lang w:val="en-US" w:eastAsia="zh-CN"/>
        </w:rPr>
        <w:t>特此通知。</w:t>
      </w:r>
    </w:p>
    <w:p w14:paraId="1EC2A39F">
      <w:pPr>
        <w:keepNext w:val="0"/>
        <w:keepLines w:val="0"/>
        <w:pageBreakBefore w:val="0"/>
        <w:widowControl w:val="0"/>
        <w:kinsoku/>
        <w:wordWrap/>
        <w:overflowPunct/>
        <w:topLinePunct w:val="0"/>
        <w:autoSpaceDE/>
        <w:autoSpaceDN/>
        <w:bidi w:val="0"/>
        <w:adjustRightInd w:val="0"/>
        <w:snapToGrid w:val="0"/>
        <w:spacing w:line="300" w:lineRule="auto"/>
        <w:ind w:firstLine="584" w:firstLineChars="200"/>
        <w:textAlignment w:val="auto"/>
        <w:rPr>
          <w:rFonts w:hint="eastAsia" w:ascii="Times New Roman" w:hAnsi="Times New Roman" w:eastAsia="仿宋_GB2312" w:cs="仿宋_GB2312"/>
          <w:spacing w:val="-14"/>
          <w:sz w:val="32"/>
          <w:lang w:val="en-US" w:eastAsia="zh-CN"/>
        </w:rPr>
      </w:pPr>
    </w:p>
    <w:p w14:paraId="0AF5A47C">
      <w:pPr>
        <w:keepNext w:val="0"/>
        <w:keepLines w:val="0"/>
        <w:pageBreakBefore w:val="0"/>
        <w:widowControl w:val="0"/>
        <w:kinsoku/>
        <w:wordWrap/>
        <w:overflowPunct/>
        <w:topLinePunct w:val="0"/>
        <w:autoSpaceDE/>
        <w:autoSpaceDN/>
        <w:bidi w:val="0"/>
        <w:adjustRightInd w:val="0"/>
        <w:snapToGrid w:val="0"/>
        <w:spacing w:line="300" w:lineRule="auto"/>
        <w:ind w:firstLine="584" w:firstLineChars="200"/>
        <w:textAlignment w:val="auto"/>
        <w:rPr>
          <w:rFonts w:hint="eastAsia" w:ascii="Times New Roman" w:hAnsi="Times New Roman" w:eastAsia="仿宋_GB2312" w:cs="仿宋_GB2312"/>
          <w:spacing w:val="-14"/>
          <w:sz w:val="32"/>
          <w:lang w:val="en-US" w:eastAsia="zh-CN"/>
        </w:rPr>
      </w:pPr>
      <w:r>
        <w:rPr>
          <w:rFonts w:hint="eastAsia" w:ascii="Times New Roman" w:hAnsi="Times New Roman" w:eastAsia="仿宋_GB2312" w:cs="仿宋_GB2312"/>
          <w:spacing w:val="-14"/>
          <w:sz w:val="32"/>
          <w:lang w:val="en-US" w:eastAsia="zh-CN"/>
        </w:rPr>
        <w:t>附件：连云港市工程建设项目审批事项清单（第二版修订版）</w:t>
      </w:r>
    </w:p>
    <w:p w14:paraId="0A1FB594">
      <w:pPr>
        <w:keepNext w:val="0"/>
        <w:keepLines w:val="0"/>
        <w:pageBreakBefore w:val="0"/>
        <w:widowControl w:val="0"/>
        <w:kinsoku/>
        <w:wordWrap/>
        <w:overflowPunct/>
        <w:topLinePunct w:val="0"/>
        <w:autoSpaceDE/>
        <w:autoSpaceDN/>
        <w:bidi w:val="0"/>
        <w:adjustRightInd w:val="0"/>
        <w:snapToGrid w:val="0"/>
        <w:spacing w:line="300" w:lineRule="auto"/>
        <w:ind w:firstLine="640" w:firstLineChars="200"/>
        <w:textAlignment w:val="auto"/>
        <w:rPr>
          <w:rFonts w:hint="eastAsia" w:ascii="Times New Roman" w:hAnsi="Times New Roman" w:eastAsia="仿宋_GB2312" w:cs="仿宋_GB2312"/>
          <w:sz w:val="32"/>
          <w:lang w:val="en-US" w:eastAsia="zh-CN"/>
        </w:rPr>
      </w:pPr>
      <w:r>
        <w:rPr>
          <w:rFonts w:hint="eastAsia" w:ascii="Times New Roman" w:hAnsi="Times New Roman" w:eastAsia="仿宋_GB2312" w:cs="仿宋_GB2312"/>
          <w:sz w:val="32"/>
          <w:lang w:val="en-US" w:eastAsia="zh-CN"/>
        </w:rPr>
        <w:t>（此页无正文）</w:t>
      </w:r>
    </w:p>
    <w:p w14:paraId="1B9C6618">
      <w:pPr>
        <w:keepNext w:val="0"/>
        <w:keepLines w:val="0"/>
        <w:pageBreakBefore w:val="0"/>
        <w:widowControl w:val="0"/>
        <w:kinsoku/>
        <w:wordWrap/>
        <w:overflowPunct/>
        <w:topLinePunct w:val="0"/>
        <w:autoSpaceDE/>
        <w:autoSpaceDN/>
        <w:bidi w:val="0"/>
        <w:adjustRightInd w:val="0"/>
        <w:snapToGrid w:val="0"/>
        <w:spacing w:line="300" w:lineRule="auto"/>
        <w:ind w:firstLine="640" w:firstLineChars="200"/>
        <w:textAlignment w:val="auto"/>
        <w:rPr>
          <w:rFonts w:hint="eastAsia" w:ascii="Times New Roman" w:hAnsi="Times New Roman" w:eastAsia="仿宋_GB2312" w:cs="仿宋_GB2312"/>
          <w:sz w:val="32"/>
          <w:lang w:val="en-US" w:eastAsia="zh-CN"/>
        </w:rPr>
      </w:pPr>
    </w:p>
    <w:p w14:paraId="5779D7A4">
      <w:pPr>
        <w:keepNext w:val="0"/>
        <w:keepLines w:val="0"/>
        <w:pageBreakBefore w:val="0"/>
        <w:widowControl w:val="0"/>
        <w:kinsoku/>
        <w:wordWrap/>
        <w:overflowPunct/>
        <w:topLinePunct w:val="0"/>
        <w:autoSpaceDE/>
        <w:autoSpaceDN/>
        <w:bidi w:val="0"/>
        <w:adjustRightInd w:val="0"/>
        <w:snapToGrid w:val="0"/>
        <w:spacing w:line="300" w:lineRule="auto"/>
        <w:ind w:firstLine="3840" w:firstLineChars="1200"/>
        <w:textAlignment w:val="auto"/>
        <w:rPr>
          <w:rFonts w:hint="eastAsia" w:ascii="Times New Roman" w:hAnsi="Times New Roman" w:eastAsia="仿宋_GB2312" w:cs="仿宋_GB2312"/>
          <w:sz w:val="32"/>
          <w:lang w:val="en-US" w:eastAsia="zh-CN"/>
        </w:rPr>
      </w:pPr>
    </w:p>
    <w:p w14:paraId="7EBC46DE">
      <w:pPr>
        <w:keepNext w:val="0"/>
        <w:keepLines w:val="0"/>
        <w:pageBreakBefore w:val="0"/>
        <w:widowControl w:val="0"/>
        <w:kinsoku/>
        <w:wordWrap/>
        <w:overflowPunct/>
        <w:topLinePunct w:val="0"/>
        <w:autoSpaceDE/>
        <w:autoSpaceDN/>
        <w:bidi w:val="0"/>
        <w:adjustRightInd w:val="0"/>
        <w:snapToGrid w:val="0"/>
        <w:spacing w:line="300" w:lineRule="auto"/>
        <w:ind w:firstLine="3840" w:firstLineChars="1200"/>
        <w:textAlignment w:val="auto"/>
        <w:rPr>
          <w:rFonts w:hint="eastAsia" w:ascii="Times New Roman" w:hAnsi="Times New Roman" w:eastAsia="仿宋_GB2312" w:cs="仿宋_GB2312"/>
          <w:sz w:val="32"/>
          <w:lang w:val="en-US" w:eastAsia="zh-CN"/>
        </w:rPr>
      </w:pPr>
      <w:r>
        <w:rPr>
          <w:rFonts w:hint="eastAsia" w:ascii="Times New Roman" w:hAnsi="Times New Roman" w:eastAsia="仿宋_GB2312" w:cs="仿宋_GB2312"/>
          <w:sz w:val="32"/>
          <w:lang w:val="en-US" w:eastAsia="zh-CN"/>
        </w:rPr>
        <w:t>连云港市工程建设项目审批制度</w:t>
      </w:r>
    </w:p>
    <w:p w14:paraId="08A386BC">
      <w:pPr>
        <w:keepNext w:val="0"/>
        <w:keepLines w:val="0"/>
        <w:pageBreakBefore w:val="0"/>
        <w:widowControl w:val="0"/>
        <w:kinsoku/>
        <w:wordWrap/>
        <w:overflowPunct/>
        <w:topLinePunct w:val="0"/>
        <w:autoSpaceDE/>
        <w:autoSpaceDN/>
        <w:bidi w:val="0"/>
        <w:adjustRightInd w:val="0"/>
        <w:snapToGrid w:val="0"/>
        <w:spacing w:line="300" w:lineRule="auto"/>
        <w:ind w:firstLine="4480" w:firstLineChars="1400"/>
        <w:textAlignment w:val="auto"/>
        <w:rPr>
          <w:rFonts w:hint="eastAsia" w:ascii="Times New Roman" w:hAnsi="Times New Roman" w:eastAsia="仿宋_GB2312" w:cs="仿宋_GB2312"/>
          <w:sz w:val="32"/>
          <w:lang w:val="en-US" w:eastAsia="zh-CN"/>
        </w:rPr>
      </w:pPr>
      <w:r>
        <w:rPr>
          <w:rFonts w:hint="eastAsia" w:ascii="Times New Roman" w:hAnsi="Times New Roman" w:eastAsia="仿宋_GB2312" w:cs="仿宋_GB2312"/>
          <w:sz w:val="32"/>
          <w:lang w:val="en-US" w:eastAsia="zh-CN"/>
        </w:rPr>
        <w:t>改革领导小组办公室</w:t>
      </w:r>
    </w:p>
    <w:p w14:paraId="309990AF">
      <w:pPr>
        <w:keepNext w:val="0"/>
        <w:keepLines w:val="0"/>
        <w:pageBreakBefore w:val="0"/>
        <w:widowControl w:val="0"/>
        <w:kinsoku/>
        <w:wordWrap/>
        <w:overflowPunct/>
        <w:topLinePunct w:val="0"/>
        <w:autoSpaceDE/>
        <w:autoSpaceDN/>
        <w:bidi w:val="0"/>
        <w:adjustRightInd w:val="0"/>
        <w:snapToGrid w:val="0"/>
        <w:spacing w:line="300" w:lineRule="auto"/>
        <w:ind w:firstLine="4800" w:firstLineChars="1500"/>
        <w:textAlignment w:val="auto"/>
        <w:rPr>
          <w:rFonts w:hint="eastAsia" w:ascii="Times New Roman" w:hAnsi="Times New Roman" w:eastAsia="仿宋_GB2312" w:cs="仿宋_GB2312"/>
          <w:sz w:val="32"/>
          <w:lang w:val="en-US" w:eastAsia="zh-CN"/>
        </w:rPr>
      </w:pPr>
      <w:r>
        <w:rPr>
          <w:rFonts w:hint="eastAsia" w:ascii="Times New Roman" w:hAnsi="Times New Roman" w:eastAsia="仿宋_GB2312" w:cs="仿宋_GB2312"/>
          <w:sz w:val="32"/>
          <w:lang w:val="en-US" w:eastAsia="zh-CN"/>
        </w:rPr>
        <w:t>2020年12月15日</w:t>
      </w:r>
    </w:p>
    <w:p w14:paraId="75509F0A">
      <w:pPr>
        <w:keepNext w:val="0"/>
        <w:keepLines w:val="0"/>
        <w:pageBreakBefore w:val="0"/>
        <w:widowControl w:val="0"/>
        <w:kinsoku/>
        <w:wordWrap/>
        <w:overflowPunct/>
        <w:topLinePunct w:val="0"/>
        <w:autoSpaceDE/>
        <w:autoSpaceDN/>
        <w:bidi w:val="0"/>
        <w:adjustRightInd w:val="0"/>
        <w:snapToGrid w:val="0"/>
        <w:spacing w:line="300" w:lineRule="auto"/>
        <w:ind w:firstLine="640" w:firstLineChars="200"/>
        <w:textAlignment w:val="auto"/>
        <w:rPr>
          <w:rFonts w:hint="eastAsia" w:ascii="Times New Roman" w:hAnsi="Times New Roman" w:eastAsia="仿宋_GB2312" w:cs="仿宋_GB2312"/>
          <w:sz w:val="32"/>
          <w:lang w:val="en-US" w:eastAsia="zh-CN"/>
        </w:rPr>
      </w:pPr>
    </w:p>
    <w:p w14:paraId="0F878837">
      <w:pPr>
        <w:keepNext w:val="0"/>
        <w:keepLines w:val="0"/>
        <w:pageBreakBefore w:val="0"/>
        <w:widowControl w:val="0"/>
        <w:kinsoku/>
        <w:wordWrap/>
        <w:overflowPunct/>
        <w:topLinePunct w:val="0"/>
        <w:autoSpaceDE/>
        <w:autoSpaceDN/>
        <w:bidi w:val="0"/>
        <w:adjustRightInd w:val="0"/>
        <w:snapToGrid w:val="0"/>
        <w:spacing w:line="300" w:lineRule="auto"/>
        <w:textAlignment w:val="auto"/>
        <w:rPr>
          <w:rFonts w:hint="eastAsia" w:ascii="Times New Roman" w:hAnsi="Times New Roman" w:eastAsia="仿宋_GB2312" w:cs="仿宋_GB2312"/>
          <w:sz w:val="32"/>
          <w:lang w:val="en-US" w:eastAsia="zh-CN"/>
        </w:rPr>
      </w:pPr>
      <w:r>
        <w:rPr>
          <w:rFonts w:hint="eastAsia" w:ascii="Times New Roman" w:hAnsi="Times New Roman" w:eastAsia="仿宋_GB2312" w:cs="仿宋_GB2312"/>
          <w:sz w:val="32"/>
          <w:lang w:val="en-US" w:eastAsia="zh-CN"/>
        </w:rPr>
        <w:t>（此件公开发布）</w:t>
      </w:r>
    </w:p>
    <w:p w14:paraId="09FF8AF1">
      <w:pPr>
        <w:keepNext w:val="0"/>
        <w:keepLines w:val="0"/>
        <w:pageBreakBefore w:val="0"/>
        <w:widowControl w:val="0"/>
        <w:kinsoku/>
        <w:wordWrap/>
        <w:overflowPunct/>
        <w:topLinePunct w:val="0"/>
        <w:autoSpaceDE/>
        <w:autoSpaceDN/>
        <w:bidi w:val="0"/>
        <w:adjustRightInd w:val="0"/>
        <w:snapToGrid w:val="0"/>
        <w:spacing w:line="300" w:lineRule="auto"/>
        <w:ind w:firstLine="4800" w:firstLineChars="1500"/>
        <w:textAlignment w:val="auto"/>
        <w:rPr>
          <w:rFonts w:hint="eastAsia" w:ascii="Times New Roman" w:hAnsi="Times New Roman" w:eastAsia="仿宋_GB2312"/>
          <w:sz w:val="32"/>
          <w:szCs w:val="32"/>
          <w:lang w:eastAsia="zh-CN"/>
        </w:rPr>
      </w:pPr>
    </w:p>
    <w:p w14:paraId="286C34D5">
      <w:pPr>
        <w:keepNext w:val="0"/>
        <w:keepLines w:val="0"/>
        <w:pageBreakBefore w:val="0"/>
        <w:widowControl w:val="0"/>
        <w:kinsoku/>
        <w:wordWrap/>
        <w:overflowPunct/>
        <w:topLinePunct w:val="0"/>
        <w:autoSpaceDE/>
        <w:autoSpaceDN/>
        <w:bidi w:val="0"/>
        <w:adjustRightInd w:val="0"/>
        <w:snapToGrid w:val="0"/>
        <w:spacing w:line="300" w:lineRule="auto"/>
        <w:ind w:firstLine="4800" w:firstLineChars="1500"/>
        <w:textAlignment w:val="auto"/>
        <w:rPr>
          <w:rFonts w:hint="eastAsia" w:ascii="Times New Roman" w:hAnsi="Times New Roman" w:eastAsia="仿宋_GB2312"/>
          <w:sz w:val="32"/>
          <w:szCs w:val="32"/>
          <w:lang w:eastAsia="zh-CN"/>
        </w:rPr>
      </w:pPr>
    </w:p>
    <w:p w14:paraId="5C0BE1B4">
      <w:pPr>
        <w:keepNext w:val="0"/>
        <w:keepLines w:val="0"/>
        <w:pageBreakBefore w:val="0"/>
        <w:widowControl w:val="0"/>
        <w:kinsoku/>
        <w:wordWrap/>
        <w:overflowPunct/>
        <w:topLinePunct w:val="0"/>
        <w:autoSpaceDE/>
        <w:autoSpaceDN/>
        <w:bidi w:val="0"/>
        <w:adjustRightInd w:val="0"/>
        <w:snapToGrid w:val="0"/>
        <w:spacing w:line="300" w:lineRule="auto"/>
        <w:ind w:firstLine="4800" w:firstLineChars="1500"/>
        <w:textAlignment w:val="auto"/>
        <w:rPr>
          <w:rFonts w:hint="eastAsia" w:ascii="Times New Roman" w:hAnsi="Times New Roman" w:eastAsia="仿宋_GB2312"/>
          <w:sz w:val="32"/>
          <w:szCs w:val="32"/>
          <w:lang w:eastAsia="zh-CN"/>
        </w:rPr>
      </w:pPr>
    </w:p>
    <w:p w14:paraId="1157DEC7">
      <w:pPr>
        <w:keepNext w:val="0"/>
        <w:keepLines w:val="0"/>
        <w:pageBreakBefore w:val="0"/>
        <w:widowControl w:val="0"/>
        <w:kinsoku/>
        <w:wordWrap/>
        <w:overflowPunct/>
        <w:topLinePunct w:val="0"/>
        <w:autoSpaceDE/>
        <w:autoSpaceDN/>
        <w:bidi w:val="0"/>
        <w:adjustRightInd w:val="0"/>
        <w:snapToGrid w:val="0"/>
        <w:spacing w:line="300" w:lineRule="auto"/>
        <w:ind w:firstLine="4800" w:firstLineChars="1500"/>
        <w:textAlignment w:val="auto"/>
        <w:rPr>
          <w:rFonts w:hint="eastAsia" w:ascii="Times New Roman" w:hAnsi="Times New Roman" w:eastAsia="仿宋_GB2312"/>
          <w:sz w:val="32"/>
          <w:szCs w:val="32"/>
          <w:lang w:eastAsia="zh-CN"/>
        </w:rPr>
      </w:pPr>
    </w:p>
    <w:p w14:paraId="5272AEE4">
      <w:pPr>
        <w:keepNext w:val="0"/>
        <w:keepLines w:val="0"/>
        <w:pageBreakBefore w:val="0"/>
        <w:widowControl w:val="0"/>
        <w:kinsoku/>
        <w:wordWrap/>
        <w:overflowPunct/>
        <w:topLinePunct w:val="0"/>
        <w:autoSpaceDE/>
        <w:autoSpaceDN/>
        <w:bidi w:val="0"/>
        <w:adjustRightInd w:val="0"/>
        <w:snapToGrid w:val="0"/>
        <w:spacing w:line="300" w:lineRule="auto"/>
        <w:ind w:firstLine="4800" w:firstLineChars="1500"/>
        <w:textAlignment w:val="auto"/>
        <w:rPr>
          <w:rFonts w:hint="eastAsia" w:ascii="Times New Roman" w:hAnsi="Times New Roman" w:eastAsia="仿宋_GB2312"/>
          <w:sz w:val="32"/>
          <w:szCs w:val="32"/>
          <w:lang w:eastAsia="zh-CN"/>
        </w:rPr>
      </w:pPr>
    </w:p>
    <w:p w14:paraId="31585525">
      <w:pPr>
        <w:keepNext w:val="0"/>
        <w:keepLines w:val="0"/>
        <w:pageBreakBefore w:val="0"/>
        <w:widowControl w:val="0"/>
        <w:kinsoku/>
        <w:wordWrap/>
        <w:overflowPunct/>
        <w:topLinePunct w:val="0"/>
        <w:autoSpaceDE/>
        <w:autoSpaceDN/>
        <w:bidi w:val="0"/>
        <w:adjustRightInd w:val="0"/>
        <w:snapToGrid w:val="0"/>
        <w:spacing w:line="300" w:lineRule="auto"/>
        <w:ind w:firstLine="4800" w:firstLineChars="1500"/>
        <w:textAlignment w:val="auto"/>
        <w:rPr>
          <w:rFonts w:hint="eastAsia" w:ascii="Times New Roman" w:hAnsi="Times New Roman" w:eastAsia="仿宋_GB2312"/>
          <w:sz w:val="32"/>
          <w:szCs w:val="32"/>
          <w:lang w:eastAsia="zh-CN"/>
        </w:rPr>
      </w:pPr>
    </w:p>
    <w:p w14:paraId="49C298A9">
      <w:pPr>
        <w:keepNext w:val="0"/>
        <w:keepLines w:val="0"/>
        <w:pageBreakBefore w:val="0"/>
        <w:widowControl w:val="0"/>
        <w:kinsoku/>
        <w:wordWrap/>
        <w:overflowPunct/>
        <w:topLinePunct w:val="0"/>
        <w:autoSpaceDE/>
        <w:autoSpaceDN/>
        <w:bidi w:val="0"/>
        <w:adjustRightInd w:val="0"/>
        <w:snapToGrid w:val="0"/>
        <w:spacing w:line="300" w:lineRule="auto"/>
        <w:ind w:firstLine="4800" w:firstLineChars="1500"/>
        <w:textAlignment w:val="auto"/>
        <w:rPr>
          <w:rFonts w:hint="eastAsia" w:ascii="Times New Roman" w:hAnsi="Times New Roman" w:eastAsia="仿宋_GB2312"/>
          <w:sz w:val="32"/>
          <w:szCs w:val="32"/>
          <w:lang w:eastAsia="zh-CN"/>
        </w:rPr>
      </w:pPr>
    </w:p>
    <w:p w14:paraId="10C0F91A">
      <w:pPr>
        <w:keepNext w:val="0"/>
        <w:keepLines w:val="0"/>
        <w:pageBreakBefore w:val="0"/>
        <w:widowControl w:val="0"/>
        <w:kinsoku/>
        <w:wordWrap/>
        <w:overflowPunct/>
        <w:topLinePunct w:val="0"/>
        <w:autoSpaceDE/>
        <w:autoSpaceDN/>
        <w:bidi w:val="0"/>
        <w:adjustRightInd w:val="0"/>
        <w:snapToGrid w:val="0"/>
        <w:spacing w:line="300" w:lineRule="auto"/>
        <w:ind w:firstLine="4800" w:firstLineChars="1500"/>
        <w:textAlignment w:val="auto"/>
        <w:rPr>
          <w:rFonts w:hint="eastAsia" w:ascii="Times New Roman" w:hAnsi="Times New Roman" w:eastAsia="仿宋_GB2312"/>
          <w:sz w:val="32"/>
          <w:szCs w:val="32"/>
          <w:lang w:eastAsia="zh-CN"/>
        </w:rPr>
      </w:pPr>
    </w:p>
    <w:p w14:paraId="4A00E7C2">
      <w:pPr>
        <w:keepNext w:val="0"/>
        <w:keepLines w:val="0"/>
        <w:pageBreakBefore w:val="0"/>
        <w:widowControl w:val="0"/>
        <w:kinsoku/>
        <w:wordWrap/>
        <w:overflowPunct/>
        <w:topLinePunct w:val="0"/>
        <w:autoSpaceDE/>
        <w:autoSpaceDN/>
        <w:bidi w:val="0"/>
        <w:adjustRightInd w:val="0"/>
        <w:snapToGrid w:val="0"/>
        <w:spacing w:line="300" w:lineRule="auto"/>
        <w:ind w:firstLine="4800" w:firstLineChars="1500"/>
        <w:textAlignment w:val="auto"/>
        <w:rPr>
          <w:rFonts w:hint="eastAsia" w:ascii="Times New Roman" w:hAnsi="Times New Roman" w:eastAsia="仿宋_GB2312"/>
          <w:sz w:val="32"/>
          <w:szCs w:val="32"/>
          <w:lang w:eastAsia="zh-CN"/>
        </w:rPr>
      </w:pPr>
    </w:p>
    <w:p w14:paraId="7641C51E">
      <w:pPr>
        <w:keepNext w:val="0"/>
        <w:keepLines w:val="0"/>
        <w:pageBreakBefore w:val="0"/>
        <w:widowControl w:val="0"/>
        <w:kinsoku/>
        <w:wordWrap/>
        <w:overflowPunct/>
        <w:topLinePunct w:val="0"/>
        <w:autoSpaceDE/>
        <w:autoSpaceDN/>
        <w:bidi w:val="0"/>
        <w:adjustRightInd w:val="0"/>
        <w:snapToGrid w:val="0"/>
        <w:spacing w:line="300" w:lineRule="auto"/>
        <w:ind w:firstLine="4800" w:firstLineChars="1500"/>
        <w:textAlignment w:val="auto"/>
        <w:rPr>
          <w:rFonts w:hint="eastAsia" w:ascii="Times New Roman" w:hAnsi="Times New Roman" w:eastAsia="仿宋_GB2312"/>
          <w:sz w:val="32"/>
          <w:szCs w:val="32"/>
          <w:lang w:eastAsia="zh-CN"/>
        </w:rPr>
      </w:pPr>
    </w:p>
    <w:p w14:paraId="4ACD21DF">
      <w:pPr>
        <w:keepNext w:val="0"/>
        <w:keepLines w:val="0"/>
        <w:pageBreakBefore w:val="0"/>
        <w:widowControl w:val="0"/>
        <w:kinsoku/>
        <w:wordWrap/>
        <w:overflowPunct/>
        <w:topLinePunct w:val="0"/>
        <w:autoSpaceDE/>
        <w:autoSpaceDN/>
        <w:bidi w:val="0"/>
        <w:adjustRightInd w:val="0"/>
        <w:snapToGrid w:val="0"/>
        <w:spacing w:line="300" w:lineRule="auto"/>
        <w:ind w:firstLine="4800" w:firstLineChars="1500"/>
        <w:textAlignment w:val="auto"/>
        <w:rPr>
          <w:rFonts w:hint="eastAsia" w:ascii="Times New Roman" w:hAnsi="Times New Roman" w:eastAsia="仿宋_GB2312"/>
          <w:sz w:val="32"/>
          <w:szCs w:val="32"/>
          <w:lang w:eastAsia="zh-CN"/>
        </w:rPr>
      </w:pPr>
    </w:p>
    <w:p w14:paraId="34729079">
      <w:pPr>
        <w:keepNext w:val="0"/>
        <w:keepLines w:val="0"/>
        <w:pageBreakBefore w:val="0"/>
        <w:widowControl w:val="0"/>
        <w:kinsoku/>
        <w:wordWrap/>
        <w:overflowPunct/>
        <w:topLinePunct w:val="0"/>
        <w:autoSpaceDE/>
        <w:autoSpaceDN/>
        <w:bidi w:val="0"/>
        <w:adjustRightInd w:val="0"/>
        <w:snapToGrid w:val="0"/>
        <w:spacing w:line="300" w:lineRule="auto"/>
        <w:ind w:firstLine="4800" w:firstLineChars="1500"/>
        <w:textAlignment w:val="auto"/>
        <w:rPr>
          <w:rFonts w:hint="eastAsia" w:ascii="Times New Roman" w:hAnsi="Times New Roman" w:eastAsia="仿宋_GB2312"/>
          <w:sz w:val="32"/>
          <w:szCs w:val="32"/>
          <w:lang w:eastAsia="zh-CN"/>
        </w:rPr>
      </w:pPr>
    </w:p>
    <w:p w14:paraId="08A25901">
      <w:pPr>
        <w:keepNext w:val="0"/>
        <w:keepLines w:val="0"/>
        <w:pageBreakBefore w:val="0"/>
        <w:widowControl w:val="0"/>
        <w:kinsoku/>
        <w:wordWrap/>
        <w:overflowPunct/>
        <w:topLinePunct w:val="0"/>
        <w:autoSpaceDE/>
        <w:autoSpaceDN/>
        <w:bidi w:val="0"/>
        <w:adjustRightInd w:val="0"/>
        <w:snapToGrid w:val="0"/>
        <w:spacing w:line="300" w:lineRule="auto"/>
        <w:ind w:firstLine="4800" w:firstLineChars="1500"/>
        <w:textAlignment w:val="auto"/>
        <w:rPr>
          <w:rFonts w:hint="eastAsia" w:ascii="Times New Roman" w:hAnsi="Times New Roman" w:eastAsia="仿宋_GB2312"/>
          <w:sz w:val="32"/>
          <w:szCs w:val="32"/>
          <w:lang w:eastAsia="zh-CN"/>
        </w:rPr>
      </w:pPr>
    </w:p>
    <w:p w14:paraId="73429DFF">
      <w:pPr>
        <w:keepNext w:val="0"/>
        <w:keepLines w:val="0"/>
        <w:pageBreakBefore w:val="0"/>
        <w:widowControl w:val="0"/>
        <w:kinsoku/>
        <w:wordWrap/>
        <w:overflowPunct/>
        <w:topLinePunct w:val="0"/>
        <w:autoSpaceDE/>
        <w:autoSpaceDN/>
        <w:bidi w:val="0"/>
        <w:adjustRightInd w:val="0"/>
        <w:snapToGrid w:val="0"/>
        <w:spacing w:line="300" w:lineRule="auto"/>
        <w:ind w:firstLine="4800" w:firstLineChars="1500"/>
        <w:textAlignment w:val="auto"/>
        <w:rPr>
          <w:rFonts w:hint="eastAsia" w:ascii="Times New Roman" w:hAnsi="Times New Roman" w:eastAsia="仿宋_GB2312"/>
          <w:sz w:val="32"/>
          <w:szCs w:val="32"/>
          <w:lang w:eastAsia="zh-CN"/>
        </w:rPr>
      </w:pPr>
    </w:p>
    <w:p w14:paraId="53D169F2">
      <w:pPr>
        <w:keepNext w:val="0"/>
        <w:keepLines w:val="0"/>
        <w:pageBreakBefore w:val="0"/>
        <w:widowControl w:val="0"/>
        <w:kinsoku/>
        <w:wordWrap/>
        <w:overflowPunct/>
        <w:topLinePunct w:val="0"/>
        <w:autoSpaceDE/>
        <w:autoSpaceDN/>
        <w:bidi w:val="0"/>
        <w:adjustRightInd w:val="0"/>
        <w:snapToGrid w:val="0"/>
        <w:spacing w:line="300" w:lineRule="auto"/>
        <w:ind w:firstLine="4800" w:firstLineChars="1500"/>
        <w:textAlignment w:val="auto"/>
        <w:rPr>
          <w:rFonts w:hint="eastAsia" w:ascii="Times New Roman" w:hAnsi="Times New Roman" w:eastAsia="仿宋_GB2312"/>
          <w:sz w:val="32"/>
          <w:szCs w:val="32"/>
          <w:lang w:eastAsia="zh-CN"/>
        </w:rPr>
      </w:pPr>
    </w:p>
    <w:p w14:paraId="14198CE0">
      <w:pPr>
        <w:keepNext w:val="0"/>
        <w:keepLines w:val="0"/>
        <w:pageBreakBefore w:val="0"/>
        <w:widowControl w:val="0"/>
        <w:kinsoku/>
        <w:wordWrap/>
        <w:overflowPunct/>
        <w:topLinePunct w:val="0"/>
        <w:autoSpaceDE/>
        <w:autoSpaceDN/>
        <w:bidi w:val="0"/>
        <w:adjustRightInd w:val="0"/>
        <w:snapToGrid w:val="0"/>
        <w:spacing w:line="300" w:lineRule="auto"/>
        <w:ind w:firstLine="4800" w:firstLineChars="1500"/>
        <w:textAlignment w:val="auto"/>
        <w:rPr>
          <w:rFonts w:hint="eastAsia" w:ascii="Times New Roman" w:hAnsi="Times New Roman" w:eastAsia="仿宋_GB2312"/>
          <w:sz w:val="32"/>
          <w:szCs w:val="32"/>
          <w:lang w:eastAsia="zh-CN"/>
        </w:rPr>
      </w:pPr>
    </w:p>
    <w:p w14:paraId="5B8A2861">
      <w:pPr>
        <w:keepNext w:val="0"/>
        <w:keepLines w:val="0"/>
        <w:pageBreakBefore w:val="0"/>
        <w:widowControl w:val="0"/>
        <w:kinsoku/>
        <w:wordWrap/>
        <w:overflowPunct/>
        <w:topLinePunct w:val="0"/>
        <w:autoSpaceDE/>
        <w:autoSpaceDN/>
        <w:bidi w:val="0"/>
        <w:adjustRightInd w:val="0"/>
        <w:snapToGrid w:val="0"/>
        <w:spacing w:line="300" w:lineRule="auto"/>
        <w:ind w:firstLine="4800" w:firstLineChars="1500"/>
        <w:textAlignment w:val="auto"/>
        <w:rPr>
          <w:rFonts w:hint="eastAsia" w:ascii="Times New Roman" w:hAnsi="Times New Roman" w:eastAsia="仿宋_GB2312"/>
          <w:sz w:val="32"/>
          <w:szCs w:val="32"/>
          <w:lang w:eastAsia="zh-CN"/>
        </w:rPr>
      </w:pPr>
    </w:p>
    <w:p w14:paraId="2FE5E9DA">
      <w:pPr>
        <w:keepNext w:val="0"/>
        <w:keepLines w:val="0"/>
        <w:pageBreakBefore w:val="0"/>
        <w:widowControl w:val="0"/>
        <w:kinsoku/>
        <w:wordWrap/>
        <w:overflowPunct/>
        <w:topLinePunct w:val="0"/>
        <w:autoSpaceDE/>
        <w:autoSpaceDN/>
        <w:bidi w:val="0"/>
        <w:adjustRightInd w:val="0"/>
        <w:snapToGrid w:val="0"/>
        <w:spacing w:line="300" w:lineRule="auto"/>
        <w:ind w:firstLine="4800" w:firstLineChars="1500"/>
        <w:textAlignment w:val="auto"/>
        <w:rPr>
          <w:rFonts w:hint="eastAsia" w:ascii="Times New Roman" w:hAnsi="Times New Roman" w:eastAsia="仿宋_GB2312"/>
          <w:sz w:val="32"/>
          <w:szCs w:val="32"/>
          <w:lang w:eastAsia="zh-CN"/>
        </w:rPr>
      </w:pPr>
    </w:p>
    <w:p w14:paraId="36484874">
      <w:pPr>
        <w:keepNext w:val="0"/>
        <w:keepLines w:val="0"/>
        <w:pageBreakBefore w:val="0"/>
        <w:widowControl w:val="0"/>
        <w:kinsoku/>
        <w:wordWrap/>
        <w:overflowPunct/>
        <w:topLinePunct w:val="0"/>
        <w:autoSpaceDE/>
        <w:autoSpaceDN/>
        <w:bidi w:val="0"/>
        <w:adjustRightInd w:val="0"/>
        <w:snapToGrid w:val="0"/>
        <w:spacing w:line="300" w:lineRule="auto"/>
        <w:ind w:firstLine="4800" w:firstLineChars="1500"/>
        <w:textAlignment w:val="auto"/>
        <w:rPr>
          <w:rFonts w:hint="eastAsia" w:ascii="Times New Roman" w:hAnsi="Times New Roman" w:eastAsia="仿宋_GB2312"/>
          <w:sz w:val="32"/>
          <w:szCs w:val="32"/>
          <w:lang w:eastAsia="zh-CN"/>
        </w:rPr>
      </w:pPr>
    </w:p>
    <w:p w14:paraId="50012D70">
      <w:pPr>
        <w:keepNext w:val="0"/>
        <w:keepLines w:val="0"/>
        <w:pageBreakBefore w:val="0"/>
        <w:widowControl w:val="0"/>
        <w:kinsoku/>
        <w:wordWrap/>
        <w:overflowPunct/>
        <w:topLinePunct w:val="0"/>
        <w:autoSpaceDE/>
        <w:autoSpaceDN/>
        <w:bidi w:val="0"/>
        <w:adjustRightInd w:val="0"/>
        <w:snapToGrid w:val="0"/>
        <w:spacing w:line="300" w:lineRule="auto"/>
        <w:textAlignment w:val="auto"/>
        <w:rPr>
          <w:rFonts w:hint="eastAsia" w:ascii="Times New Roman" w:hAnsi="Times New Roman" w:eastAsia="仿宋_GB2312"/>
          <w:sz w:val="32"/>
          <w:szCs w:val="32"/>
          <w:lang w:eastAsia="zh-CN"/>
        </w:rPr>
      </w:pPr>
      <w:r>
        <w:rPr>
          <w:sz w:val="32"/>
        </w:rPr>
        <mc:AlternateContent>
          <mc:Choice Requires="wps">
            <w:drawing>
              <wp:anchor distT="0" distB="0" distL="114300" distR="114300" simplePos="0" relativeHeight="251660288" behindDoc="0" locked="0" layoutInCell="1" allowOverlap="1">
                <wp:simplePos x="0" y="0"/>
                <wp:positionH relativeFrom="column">
                  <wp:posOffset>191135</wp:posOffset>
                </wp:positionH>
                <wp:positionV relativeFrom="paragraph">
                  <wp:posOffset>235585</wp:posOffset>
                </wp:positionV>
                <wp:extent cx="5219700" cy="635"/>
                <wp:effectExtent l="0" t="0" r="0" b="0"/>
                <wp:wrapNone/>
                <wp:docPr id="1" name="直线 6"/>
                <wp:cNvGraphicFramePr/>
                <a:graphic xmlns:a="http://schemas.openxmlformats.org/drawingml/2006/main">
                  <a:graphicData uri="http://schemas.microsoft.com/office/word/2010/wordprocessingShape">
                    <wps:wsp>
                      <wps:cNvSpPr/>
                      <wps:spPr>
                        <a:xfrm>
                          <a:off x="0" y="0"/>
                          <a:ext cx="521970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6" o:spid="_x0000_s1026" o:spt="20" style="position:absolute;left:0pt;margin-left:15.05pt;margin-top:18.55pt;height:0.05pt;width:411pt;z-index:251660288;mso-width-relative:page;mso-height-relative:page;" filled="f" stroked="t" coordsize="21600,21600" o:gfxdata="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KI60hdQAAAAI&#10;AQAADwAAAAAAAAABACAAAAAiAAAAZHJzL2Rvd25yZXYueG1sUEsBAhQAFAAAAAgAh07iQN4XKhbn&#10;AQAA3QMAAA4AAAAAAAAAAQAgAAAAIwEAAGRycy9lMm9Eb2MueG1sUEsFBgAAAAAGAAYAWQEAAHwF&#10;AAAAAA==&#10;">
                <v:fill on="f" focussize="0,0"/>
                <v:stroke color="#000000" joinstyle="round"/>
                <v:imagedata o:title=""/>
                <o:lock v:ext="edit" aspectratio="f"/>
              </v:line>
            </w:pict>
          </mc:Fallback>
        </mc:AlternateContent>
      </w:r>
    </w:p>
    <w:p w14:paraId="2A15F8A5">
      <w:pPr>
        <w:keepNext w:val="0"/>
        <w:keepLines w:val="0"/>
        <w:pageBreakBefore w:val="0"/>
        <w:widowControl w:val="0"/>
        <w:kinsoku/>
        <w:wordWrap/>
        <w:overflowPunct/>
        <w:topLinePunct w:val="0"/>
        <w:autoSpaceDE/>
        <w:autoSpaceDN/>
        <w:bidi w:val="0"/>
        <w:adjustRightInd w:val="0"/>
        <w:snapToGrid w:val="0"/>
        <w:spacing w:line="300" w:lineRule="auto"/>
        <w:jc w:val="center"/>
        <w:textAlignment w:val="auto"/>
        <w:rPr>
          <w:rFonts w:hint="eastAsia" w:ascii="Times New Roman" w:hAnsi="Times New Roman" w:eastAsia="仿宋_GB2312"/>
          <w:sz w:val="32"/>
          <w:szCs w:val="32"/>
          <w:lang w:eastAsia="zh-CN"/>
        </w:rPr>
      </w:pPr>
      <w:r>
        <w:rPr>
          <w:sz w:val="28"/>
        </w:rPr>
        <mc:AlternateContent>
          <mc:Choice Requires="wps">
            <w:drawing>
              <wp:anchor distT="0" distB="0" distL="114300" distR="114300" simplePos="0" relativeHeight="251661312" behindDoc="0" locked="0" layoutInCell="1" allowOverlap="1">
                <wp:simplePos x="0" y="0"/>
                <wp:positionH relativeFrom="column">
                  <wp:posOffset>172085</wp:posOffset>
                </wp:positionH>
                <wp:positionV relativeFrom="paragraph">
                  <wp:posOffset>267335</wp:posOffset>
                </wp:positionV>
                <wp:extent cx="5248275" cy="9525"/>
                <wp:effectExtent l="0" t="0" r="0" b="0"/>
                <wp:wrapNone/>
                <wp:docPr id="3" name="直线 7"/>
                <wp:cNvGraphicFramePr/>
                <a:graphic xmlns:a="http://schemas.openxmlformats.org/drawingml/2006/main">
                  <a:graphicData uri="http://schemas.microsoft.com/office/word/2010/wordprocessingShape">
                    <wps:wsp>
                      <wps:cNvSpPr/>
                      <wps:spPr>
                        <a:xfrm>
                          <a:off x="0" y="0"/>
                          <a:ext cx="5248275" cy="952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7" o:spid="_x0000_s1026" o:spt="20" style="position:absolute;left:0pt;margin-left:13.55pt;margin-top:21.05pt;height:0.75pt;width:413.25pt;z-index:251661312;mso-width-relative:page;mso-height-relative:page;" filled="f" stroked="t" coordsize="21600,21600" o:gfxdata="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mnhMPWAAAA&#10;CAEAAA8AAAAAAAAAAQAgAAAAIgAAAGRycy9kb3ducmV2LnhtbFBLAQIUABQAAAAIAIdO4kC+R6aV&#10;5gEAAN4DAAAOAAAAAAAAAAEAIAAAACUBAABkcnMvZTJvRG9jLnhtbFBLBQYAAAAABgAGAFkBAAB9&#10;BQAAAAA=&#10;">
                <v:fill on="f" focussize="0,0"/>
                <v:stroke color="#000000" joinstyle="round"/>
                <v:imagedata o:title=""/>
                <o:lock v:ext="edit" aspectratio="f"/>
              </v:line>
            </w:pict>
          </mc:Fallback>
        </mc:AlternateContent>
      </w:r>
      <w:r>
        <w:rPr>
          <w:rFonts w:hint="eastAsia" w:ascii="Times New Roman" w:hAnsi="Times New Roman" w:eastAsia="仿宋_GB2312"/>
          <w:spacing w:val="-20"/>
          <w:sz w:val="28"/>
          <w:szCs w:val="28"/>
          <w:lang w:eastAsia="zh-CN"/>
        </w:rPr>
        <w:t>抄送：连云港市人民政府、江苏省工程建设项目审批制度改革领导小组办公室</w:t>
      </w:r>
    </w:p>
    <w:p w14:paraId="38B0D64C">
      <w:pPr>
        <w:keepNext w:val="0"/>
        <w:keepLines w:val="0"/>
        <w:pageBreakBefore w:val="0"/>
        <w:widowControl w:val="0"/>
        <w:kinsoku/>
        <w:wordWrap/>
        <w:overflowPunct/>
        <w:topLinePunct w:val="0"/>
        <w:autoSpaceDE/>
        <w:autoSpaceDN/>
        <w:bidi w:val="0"/>
        <w:adjustRightInd w:val="0"/>
        <w:snapToGrid w:val="0"/>
        <w:spacing w:line="300" w:lineRule="auto"/>
        <w:jc w:val="center"/>
        <w:textAlignment w:val="auto"/>
        <w:rPr>
          <w:rFonts w:hint="eastAsia" w:ascii="Times New Roman" w:hAnsi="Times New Roman" w:eastAsia="仿宋_GB2312"/>
          <w:spacing w:val="-20"/>
          <w:sz w:val="28"/>
          <w:szCs w:val="28"/>
          <w:lang w:val="en-US" w:eastAsia="zh-CN"/>
        </w:rPr>
        <w:sectPr>
          <w:pgSz w:w="11906" w:h="16838"/>
          <w:pgMar w:top="1213" w:right="1587" w:bottom="1383" w:left="1587" w:header="851" w:footer="992" w:gutter="0"/>
          <w:cols w:space="720" w:num="1"/>
          <w:rtlGutter w:val="0"/>
          <w:docGrid w:type="lines" w:linePitch="312" w:charSpace="0"/>
        </w:sectPr>
      </w:pPr>
      <w:r>
        <w:rPr>
          <w:sz w:val="28"/>
        </w:rPr>
        <mc:AlternateContent>
          <mc:Choice Requires="wps">
            <w:drawing>
              <wp:anchor distT="0" distB="0" distL="114300" distR="114300" simplePos="0" relativeHeight="251662336" behindDoc="0" locked="0" layoutInCell="1" allowOverlap="1">
                <wp:simplePos x="0" y="0"/>
                <wp:positionH relativeFrom="column">
                  <wp:posOffset>181610</wp:posOffset>
                </wp:positionH>
                <wp:positionV relativeFrom="paragraph">
                  <wp:posOffset>245745</wp:posOffset>
                </wp:positionV>
                <wp:extent cx="5248275" cy="635"/>
                <wp:effectExtent l="0" t="0" r="0" b="0"/>
                <wp:wrapNone/>
                <wp:docPr id="4" name="直线 8"/>
                <wp:cNvGraphicFramePr/>
                <a:graphic xmlns:a="http://schemas.openxmlformats.org/drawingml/2006/main">
                  <a:graphicData uri="http://schemas.microsoft.com/office/word/2010/wordprocessingShape">
                    <wps:wsp>
                      <wps:cNvSpPr/>
                      <wps:spPr>
                        <a:xfrm>
                          <a:off x="0" y="0"/>
                          <a:ext cx="524827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8" o:spid="_x0000_s1026" o:spt="20" style="position:absolute;left:0pt;margin-left:14.3pt;margin-top:19.35pt;height:0.05pt;width:413.25pt;z-index:251662336;mso-width-relative:page;mso-height-relative:page;" filled="f" stroked="t" coordsize="21600,21600" o:gfxdata="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UaUFNYA&#10;AAAIAQAADwAAAAAAAAABACAAAAAiAAAAZHJzL2Rvd25yZXYueG1sUEsBAhQAFAAAAAgAh07iQGOw&#10;xMvoAQAA3QMAAA4AAAAAAAAAAQAgAAAAJQEAAGRycy9lMm9Eb2MueG1sUEsFBgAAAAAGAAYAWQEA&#10;AH8FAAAAAA==&#10;">
                <v:fill on="f" focussize="0,0"/>
                <v:stroke color="#000000" joinstyle="round"/>
                <v:imagedata o:title=""/>
                <o:lock v:ext="edit" aspectratio="f"/>
              </v:line>
            </w:pict>
          </mc:Fallback>
        </mc:AlternateContent>
      </w:r>
      <w:r>
        <w:rPr>
          <w:rFonts w:hint="eastAsia" w:ascii="Times New Roman" w:hAnsi="Times New Roman" w:eastAsia="仿宋_GB2312"/>
          <w:spacing w:val="-20"/>
          <w:sz w:val="28"/>
          <w:szCs w:val="28"/>
          <w:lang w:eastAsia="zh-CN"/>
        </w:rPr>
        <w:t>连云港市工程建设项目审批制度改革领导小组办公室</w:t>
      </w:r>
      <w:r>
        <w:rPr>
          <w:rFonts w:hint="eastAsia" w:ascii="Times New Roman" w:hAnsi="Times New Roman" w:eastAsia="仿宋_GB2312"/>
          <w:spacing w:val="-20"/>
          <w:sz w:val="28"/>
          <w:szCs w:val="28"/>
          <w:lang w:val="en-US" w:eastAsia="zh-CN"/>
        </w:rPr>
        <w:t xml:space="preserve"> 2020年12月15日印发</w:t>
      </w:r>
    </w:p>
    <w:p w14:paraId="1F092D29">
      <w:pPr>
        <w:spacing w:line="570" w:lineRule="exact"/>
        <w:jc w:val="center"/>
        <w:rPr>
          <w:rFonts w:hint="eastAsia" w:ascii="方正小标宋简体" w:hAnsi="方正小标宋简体" w:eastAsia="方正小标宋简体" w:cs="方正小标宋简体"/>
          <w:snapToGrid w:val="0"/>
          <w:color w:val="000000"/>
          <w:kern w:val="0"/>
          <w:sz w:val="44"/>
          <w:szCs w:val="44"/>
        </w:rPr>
      </w:pPr>
      <w:r>
        <w:rPr>
          <w:rFonts w:hint="eastAsia" w:ascii="方正小标宋简体" w:hAnsi="方正小标宋简体" w:eastAsia="方正小标宋简体" w:cs="方正小标宋简体"/>
          <w:snapToGrid w:val="0"/>
          <w:color w:val="000000"/>
          <w:kern w:val="0"/>
          <w:sz w:val="44"/>
          <w:szCs w:val="44"/>
        </w:rPr>
        <w:t>连云港市工程建设项目审批事项清单</w:t>
      </w:r>
    </w:p>
    <w:p w14:paraId="0C0DAD84">
      <w:pPr>
        <w:spacing w:line="570" w:lineRule="exact"/>
        <w:jc w:val="center"/>
        <w:rPr>
          <w:rFonts w:hint="eastAsia" w:ascii="方正小标宋_GBK" w:eastAsia="方正小标宋简体"/>
          <w:snapToGrid w:val="0"/>
          <w:color w:val="000000"/>
          <w:kern w:val="0"/>
          <w:sz w:val="44"/>
          <w:szCs w:val="44"/>
          <w:lang w:eastAsia="zh-CN"/>
        </w:rPr>
      </w:pPr>
      <w:r>
        <w:rPr>
          <w:rFonts w:hint="eastAsia" w:ascii="方正小标宋简体" w:hAnsi="方正小标宋简体" w:eastAsia="方正小标宋简体" w:cs="方正小标宋简体"/>
          <w:snapToGrid w:val="0"/>
          <w:color w:val="000000"/>
          <w:kern w:val="0"/>
          <w:sz w:val="44"/>
          <w:szCs w:val="44"/>
          <w:lang w:eastAsia="zh-CN"/>
        </w:rPr>
        <w:t>（第二版修订版）</w:t>
      </w:r>
    </w:p>
    <w:p w14:paraId="5B7AF941">
      <w:pPr>
        <w:rPr>
          <w:rFonts w:hint="default" w:ascii="Times New Roman" w:hAnsi="Times New Roman" w:eastAsia="方正黑体_GBK" w:cs="Times New Roman"/>
          <w:color w:val="000000"/>
          <w:sz w:val="36"/>
          <w:szCs w:val="36"/>
        </w:rPr>
      </w:pPr>
      <w:r>
        <w:rPr>
          <w:rFonts w:hint="default" w:ascii="Times New Roman" w:hAnsi="Times New Roman" w:eastAsia="黑体" w:cs="Times New Roman"/>
          <w:color w:val="000000"/>
          <w:sz w:val="32"/>
          <w:szCs w:val="32"/>
        </w:rPr>
        <w:t>一、保留事项（事项</w:t>
      </w:r>
      <w:r>
        <w:rPr>
          <w:rFonts w:hint="eastAsia" w:ascii="Times New Roman" w:hAnsi="Times New Roman" w:eastAsia="黑体" w:cs="Times New Roman"/>
          <w:color w:val="000000"/>
          <w:sz w:val="32"/>
          <w:szCs w:val="32"/>
          <w:lang w:val="en-US" w:eastAsia="zh-CN"/>
        </w:rPr>
        <w:t>36</w:t>
      </w:r>
      <w:r>
        <w:rPr>
          <w:rFonts w:hint="default" w:ascii="Times New Roman" w:hAnsi="Times New Roman" w:eastAsia="黑体" w:cs="Times New Roman"/>
          <w:color w:val="000000"/>
          <w:sz w:val="32"/>
          <w:szCs w:val="32"/>
        </w:rPr>
        <w:t>项、子项</w:t>
      </w:r>
      <w:r>
        <w:rPr>
          <w:rFonts w:hint="eastAsia" w:ascii="Times New Roman" w:hAnsi="Times New Roman" w:eastAsia="黑体" w:cs="Times New Roman"/>
          <w:color w:val="000000"/>
          <w:sz w:val="32"/>
          <w:szCs w:val="32"/>
          <w:lang w:val="en-US" w:eastAsia="zh-CN"/>
        </w:rPr>
        <w:t>42</w:t>
      </w:r>
      <w:r>
        <w:rPr>
          <w:rFonts w:hint="default" w:ascii="Times New Roman" w:hAnsi="Times New Roman" w:eastAsia="黑体" w:cs="Times New Roman"/>
          <w:color w:val="000000"/>
          <w:sz w:val="32"/>
          <w:szCs w:val="32"/>
        </w:rPr>
        <w:t>项）</w:t>
      </w:r>
    </w:p>
    <w:tbl>
      <w:tblPr>
        <w:tblStyle w:val="4"/>
        <w:tblW w:w="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0"/>
        <w:gridCol w:w="1807"/>
        <w:gridCol w:w="7650"/>
        <w:gridCol w:w="1815"/>
        <w:gridCol w:w="2250"/>
      </w:tblGrid>
      <w:tr w14:paraId="024D7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blHeader/>
          <w:jc w:val="center"/>
        </w:trPr>
        <w:tc>
          <w:tcPr>
            <w:tcW w:w="3637" w:type="dxa"/>
            <w:gridSpan w:val="2"/>
            <w:vAlign w:val="center"/>
          </w:tcPr>
          <w:p w14:paraId="5DAFCA29">
            <w:pPr>
              <w:widowControl/>
              <w:spacing w:line="260" w:lineRule="exact"/>
              <w:ind w:left="-42" w:leftChars="-20" w:right="-42" w:rightChars="-20"/>
              <w:jc w:val="center"/>
              <w:rPr>
                <w:rFonts w:hint="default" w:ascii="Times New Roman" w:hAnsi="Times New Roman" w:eastAsia="黑体" w:cs="Times New Roman"/>
                <w:bCs/>
                <w:color w:val="000000"/>
                <w:spacing w:val="-4"/>
                <w:kern w:val="0"/>
                <w:sz w:val="24"/>
              </w:rPr>
            </w:pPr>
            <w:r>
              <w:rPr>
                <w:rFonts w:hint="default" w:ascii="Times New Roman" w:hAnsi="Times New Roman" w:eastAsia="黑体" w:cs="Times New Roman"/>
                <w:bCs/>
                <w:color w:val="000000"/>
                <w:spacing w:val="-4"/>
                <w:kern w:val="0"/>
                <w:sz w:val="24"/>
              </w:rPr>
              <w:t>事  项  名  称</w:t>
            </w:r>
          </w:p>
        </w:tc>
        <w:tc>
          <w:tcPr>
            <w:tcW w:w="7650" w:type="dxa"/>
            <w:vMerge w:val="restart"/>
            <w:vAlign w:val="center"/>
          </w:tcPr>
          <w:p w14:paraId="457226D0">
            <w:pPr>
              <w:widowControl/>
              <w:spacing w:line="260" w:lineRule="exact"/>
              <w:ind w:left="-42" w:leftChars="-20" w:right="-42" w:rightChars="-20"/>
              <w:jc w:val="center"/>
              <w:rPr>
                <w:rFonts w:hint="default" w:ascii="Times New Roman" w:hAnsi="Times New Roman" w:eastAsia="黑体" w:cs="Times New Roman"/>
                <w:bCs/>
                <w:color w:val="000000"/>
                <w:spacing w:val="-4"/>
                <w:kern w:val="0"/>
                <w:sz w:val="24"/>
              </w:rPr>
            </w:pPr>
            <w:r>
              <w:rPr>
                <w:rFonts w:hint="default" w:ascii="Times New Roman" w:hAnsi="Times New Roman" w:eastAsia="黑体" w:cs="Times New Roman"/>
                <w:bCs/>
                <w:color w:val="000000"/>
                <w:spacing w:val="-4"/>
                <w:kern w:val="0"/>
                <w:sz w:val="24"/>
              </w:rPr>
              <w:t>设      定      依      据</w:t>
            </w:r>
          </w:p>
        </w:tc>
        <w:tc>
          <w:tcPr>
            <w:tcW w:w="1815" w:type="dxa"/>
            <w:vMerge w:val="restart"/>
            <w:vAlign w:val="center"/>
          </w:tcPr>
          <w:p w14:paraId="30AFF2E0">
            <w:pPr>
              <w:widowControl/>
              <w:spacing w:line="260" w:lineRule="exact"/>
              <w:ind w:left="-42" w:leftChars="-20" w:right="-42" w:rightChars="-20"/>
              <w:jc w:val="center"/>
              <w:rPr>
                <w:rFonts w:hint="default" w:ascii="Times New Roman" w:hAnsi="Times New Roman" w:eastAsia="黑体" w:cs="Times New Roman"/>
                <w:bCs/>
                <w:color w:val="000000"/>
                <w:spacing w:val="-4"/>
                <w:kern w:val="0"/>
                <w:sz w:val="24"/>
              </w:rPr>
            </w:pPr>
            <w:r>
              <w:rPr>
                <w:rFonts w:hint="default" w:ascii="Times New Roman" w:hAnsi="Times New Roman" w:eastAsia="黑体" w:cs="Times New Roman"/>
                <w:bCs/>
                <w:color w:val="000000"/>
                <w:spacing w:val="-4"/>
                <w:kern w:val="0"/>
                <w:sz w:val="24"/>
              </w:rPr>
              <w:t>事项类型</w:t>
            </w:r>
          </w:p>
        </w:tc>
        <w:tc>
          <w:tcPr>
            <w:tcW w:w="2250" w:type="dxa"/>
            <w:vMerge w:val="restart"/>
            <w:vAlign w:val="center"/>
          </w:tcPr>
          <w:p w14:paraId="3281EC80">
            <w:pPr>
              <w:widowControl/>
              <w:spacing w:line="260" w:lineRule="exact"/>
              <w:ind w:left="-42" w:leftChars="-20" w:right="-42" w:rightChars="-20"/>
              <w:jc w:val="center"/>
              <w:rPr>
                <w:rFonts w:hint="default" w:ascii="Times New Roman" w:hAnsi="Times New Roman" w:eastAsia="黑体" w:cs="Times New Roman"/>
                <w:bCs/>
                <w:color w:val="000000"/>
                <w:spacing w:val="-4"/>
                <w:kern w:val="0"/>
                <w:sz w:val="24"/>
              </w:rPr>
            </w:pPr>
            <w:r>
              <w:rPr>
                <w:rFonts w:hint="default" w:ascii="Times New Roman" w:hAnsi="Times New Roman" w:eastAsia="黑体" w:cs="Times New Roman"/>
                <w:bCs/>
                <w:color w:val="000000"/>
                <w:spacing w:val="-4"/>
                <w:kern w:val="0"/>
                <w:sz w:val="24"/>
              </w:rPr>
              <w:t>改革举措</w:t>
            </w:r>
          </w:p>
        </w:tc>
      </w:tr>
      <w:tr w14:paraId="0ABE7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blHeader/>
          <w:jc w:val="center"/>
        </w:trPr>
        <w:tc>
          <w:tcPr>
            <w:tcW w:w="1830" w:type="dxa"/>
            <w:vAlign w:val="center"/>
          </w:tcPr>
          <w:p w14:paraId="5F9280D1">
            <w:pPr>
              <w:widowControl/>
              <w:spacing w:line="260" w:lineRule="exact"/>
              <w:ind w:left="-42" w:leftChars="-20" w:right="-42" w:rightChars="-20"/>
              <w:jc w:val="center"/>
              <w:rPr>
                <w:rFonts w:hint="default" w:ascii="Times New Roman" w:hAnsi="Times New Roman" w:eastAsia="黑体" w:cs="Times New Roman"/>
                <w:bCs/>
                <w:color w:val="000000"/>
                <w:spacing w:val="-4"/>
                <w:kern w:val="0"/>
                <w:sz w:val="24"/>
              </w:rPr>
            </w:pPr>
            <w:r>
              <w:rPr>
                <w:rFonts w:hint="default" w:ascii="Times New Roman" w:hAnsi="Times New Roman" w:eastAsia="黑体" w:cs="Times New Roman"/>
                <w:bCs/>
                <w:color w:val="000000"/>
                <w:spacing w:val="-4"/>
                <w:kern w:val="0"/>
                <w:sz w:val="24"/>
              </w:rPr>
              <w:t>事项名称</w:t>
            </w:r>
          </w:p>
          <w:p w14:paraId="03D1977F">
            <w:pPr>
              <w:widowControl/>
              <w:spacing w:line="260" w:lineRule="exact"/>
              <w:ind w:left="-42" w:leftChars="-20" w:right="-42" w:rightChars="-20"/>
              <w:jc w:val="center"/>
              <w:rPr>
                <w:rFonts w:hint="default" w:ascii="Times New Roman" w:hAnsi="Times New Roman" w:eastAsia="黑体" w:cs="Times New Roman"/>
                <w:bCs/>
                <w:color w:val="000000"/>
                <w:spacing w:val="-4"/>
                <w:kern w:val="0"/>
                <w:sz w:val="24"/>
              </w:rPr>
            </w:pPr>
            <w:r>
              <w:rPr>
                <w:rFonts w:hint="default" w:ascii="Times New Roman" w:hAnsi="Times New Roman" w:eastAsia="黑体" w:cs="Times New Roman"/>
                <w:bCs/>
                <w:color w:val="000000"/>
                <w:spacing w:val="-4"/>
                <w:kern w:val="0"/>
                <w:sz w:val="24"/>
              </w:rPr>
              <w:t>（编码）</w:t>
            </w:r>
          </w:p>
        </w:tc>
        <w:tc>
          <w:tcPr>
            <w:tcW w:w="1807" w:type="dxa"/>
            <w:vAlign w:val="center"/>
          </w:tcPr>
          <w:p w14:paraId="7479F197">
            <w:pPr>
              <w:widowControl/>
              <w:spacing w:line="260" w:lineRule="exact"/>
              <w:ind w:left="-42" w:leftChars="-20" w:right="-42" w:rightChars="-20"/>
              <w:jc w:val="center"/>
              <w:rPr>
                <w:rFonts w:hint="default" w:ascii="Times New Roman" w:hAnsi="Times New Roman" w:eastAsia="黑体" w:cs="Times New Roman"/>
                <w:bCs/>
                <w:color w:val="000000"/>
                <w:spacing w:val="-4"/>
                <w:kern w:val="0"/>
                <w:sz w:val="24"/>
              </w:rPr>
            </w:pPr>
            <w:r>
              <w:rPr>
                <w:rFonts w:hint="default" w:ascii="Times New Roman" w:hAnsi="Times New Roman" w:eastAsia="黑体" w:cs="Times New Roman"/>
                <w:bCs/>
                <w:color w:val="000000"/>
                <w:spacing w:val="-4"/>
                <w:kern w:val="0"/>
                <w:sz w:val="24"/>
              </w:rPr>
              <w:t>子项名称</w:t>
            </w:r>
          </w:p>
          <w:p w14:paraId="77A36D73">
            <w:pPr>
              <w:widowControl/>
              <w:spacing w:line="260" w:lineRule="exact"/>
              <w:ind w:left="-42" w:leftChars="-20" w:right="-42" w:rightChars="-20"/>
              <w:jc w:val="center"/>
              <w:rPr>
                <w:rFonts w:hint="default" w:ascii="Times New Roman" w:hAnsi="Times New Roman" w:eastAsia="黑体" w:cs="Times New Roman"/>
                <w:bCs/>
                <w:color w:val="000000"/>
                <w:spacing w:val="-4"/>
                <w:kern w:val="0"/>
                <w:sz w:val="24"/>
              </w:rPr>
            </w:pPr>
            <w:r>
              <w:rPr>
                <w:rFonts w:hint="default" w:ascii="Times New Roman" w:hAnsi="Times New Roman" w:eastAsia="黑体" w:cs="Times New Roman"/>
                <w:bCs/>
                <w:color w:val="000000"/>
                <w:spacing w:val="-4"/>
                <w:kern w:val="0"/>
                <w:sz w:val="24"/>
              </w:rPr>
              <w:t>（编码）</w:t>
            </w:r>
          </w:p>
        </w:tc>
        <w:tc>
          <w:tcPr>
            <w:tcW w:w="7650" w:type="dxa"/>
            <w:vMerge w:val="continue"/>
            <w:vAlign w:val="center"/>
          </w:tcPr>
          <w:p w14:paraId="15B57A16">
            <w:pPr>
              <w:widowControl/>
              <w:spacing w:line="260" w:lineRule="exact"/>
              <w:ind w:left="-42" w:leftChars="-20" w:right="-42" w:rightChars="-20"/>
              <w:jc w:val="center"/>
              <w:rPr>
                <w:rFonts w:hint="default" w:ascii="Times New Roman" w:hAnsi="Times New Roman" w:eastAsia="方正黑体_GBK" w:cs="Times New Roman"/>
                <w:bCs/>
                <w:color w:val="000000"/>
                <w:spacing w:val="-4"/>
                <w:kern w:val="0"/>
                <w:sz w:val="24"/>
              </w:rPr>
            </w:pPr>
          </w:p>
        </w:tc>
        <w:tc>
          <w:tcPr>
            <w:tcW w:w="1815" w:type="dxa"/>
            <w:vMerge w:val="continue"/>
            <w:vAlign w:val="center"/>
          </w:tcPr>
          <w:p w14:paraId="707EDA00">
            <w:pPr>
              <w:widowControl/>
              <w:spacing w:line="260" w:lineRule="exact"/>
              <w:ind w:left="-42" w:leftChars="-20" w:right="-42" w:rightChars="-20"/>
              <w:jc w:val="center"/>
              <w:rPr>
                <w:rFonts w:hint="default" w:ascii="Times New Roman" w:hAnsi="Times New Roman" w:eastAsia="方正黑体_GBK" w:cs="Times New Roman"/>
                <w:bCs/>
                <w:color w:val="000000"/>
                <w:spacing w:val="-4"/>
                <w:kern w:val="0"/>
                <w:sz w:val="24"/>
              </w:rPr>
            </w:pPr>
          </w:p>
        </w:tc>
        <w:tc>
          <w:tcPr>
            <w:tcW w:w="2250" w:type="dxa"/>
            <w:vMerge w:val="continue"/>
            <w:vAlign w:val="center"/>
          </w:tcPr>
          <w:p w14:paraId="15C7010F">
            <w:pPr>
              <w:widowControl/>
              <w:spacing w:line="260" w:lineRule="exact"/>
              <w:ind w:left="-42" w:leftChars="-20" w:right="-42" w:rightChars="-20"/>
              <w:jc w:val="center"/>
              <w:rPr>
                <w:rFonts w:hint="default" w:ascii="Times New Roman" w:hAnsi="Times New Roman" w:eastAsia="方正黑体_GBK" w:cs="Times New Roman"/>
                <w:bCs/>
                <w:color w:val="000000"/>
                <w:spacing w:val="-4"/>
                <w:kern w:val="0"/>
                <w:sz w:val="24"/>
              </w:rPr>
            </w:pPr>
          </w:p>
        </w:tc>
      </w:tr>
      <w:tr w14:paraId="14776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15352" w:type="dxa"/>
            <w:gridSpan w:val="5"/>
            <w:vAlign w:val="center"/>
          </w:tcPr>
          <w:p w14:paraId="6EA8D273">
            <w:pPr>
              <w:widowControl/>
              <w:spacing w:line="260" w:lineRule="exact"/>
              <w:ind w:left="-42" w:leftChars="-20" w:right="-42" w:rightChars="-20"/>
              <w:rPr>
                <w:rFonts w:hint="default" w:ascii="Times New Roman" w:hAnsi="Times New Roman" w:cs="Times New Roman"/>
                <w:b/>
                <w:bCs/>
                <w:color w:val="000000"/>
                <w:spacing w:val="-4"/>
                <w:kern w:val="0"/>
                <w:sz w:val="24"/>
              </w:rPr>
            </w:pPr>
            <w:r>
              <w:rPr>
                <w:rFonts w:hint="default" w:ascii="Times New Roman" w:hAnsi="Times New Roman" w:cs="Times New Roman"/>
                <w:b/>
                <w:bCs/>
                <w:color w:val="000000"/>
                <w:spacing w:val="-4"/>
                <w:kern w:val="0"/>
                <w:sz w:val="24"/>
              </w:rPr>
              <w:t>（一）审批管理类（事项</w:t>
            </w:r>
            <w:r>
              <w:rPr>
                <w:rFonts w:hint="eastAsia" w:ascii="Times New Roman" w:hAnsi="Times New Roman" w:cs="Times New Roman"/>
                <w:b/>
                <w:bCs/>
                <w:color w:val="000000"/>
                <w:spacing w:val="-4"/>
                <w:kern w:val="0"/>
                <w:sz w:val="24"/>
                <w:lang w:val="en-US" w:eastAsia="zh-CN"/>
              </w:rPr>
              <w:t>28</w:t>
            </w:r>
            <w:r>
              <w:rPr>
                <w:rFonts w:hint="default" w:ascii="Times New Roman" w:hAnsi="Times New Roman" w:cs="Times New Roman"/>
                <w:b/>
                <w:bCs/>
                <w:color w:val="000000"/>
                <w:spacing w:val="-4"/>
                <w:kern w:val="0"/>
                <w:sz w:val="24"/>
              </w:rPr>
              <w:t>项、子项</w:t>
            </w:r>
            <w:r>
              <w:rPr>
                <w:rFonts w:hint="eastAsia" w:ascii="Times New Roman" w:hAnsi="Times New Roman" w:cs="Times New Roman"/>
                <w:b/>
                <w:bCs/>
                <w:color w:val="000000"/>
                <w:spacing w:val="-4"/>
                <w:kern w:val="0"/>
                <w:sz w:val="24"/>
                <w:lang w:val="en-US" w:eastAsia="zh-CN"/>
              </w:rPr>
              <w:t>34</w:t>
            </w:r>
            <w:r>
              <w:rPr>
                <w:rFonts w:hint="default" w:ascii="Times New Roman" w:hAnsi="Times New Roman" w:cs="Times New Roman"/>
                <w:b/>
                <w:bCs/>
                <w:color w:val="000000"/>
                <w:spacing w:val="-4"/>
                <w:kern w:val="0"/>
                <w:sz w:val="24"/>
              </w:rPr>
              <w:t>项）</w:t>
            </w:r>
          </w:p>
        </w:tc>
      </w:tr>
      <w:tr w14:paraId="642F8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30" w:type="dxa"/>
            <w:vAlign w:val="center"/>
          </w:tcPr>
          <w:p w14:paraId="0DEF62E9">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1.建设项目用地预审与选址意见书的核发</w:t>
            </w:r>
          </w:p>
          <w:p w14:paraId="52482014">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（0100148000）</w:t>
            </w:r>
          </w:p>
        </w:tc>
        <w:tc>
          <w:tcPr>
            <w:tcW w:w="1807" w:type="dxa"/>
            <w:vAlign w:val="center"/>
          </w:tcPr>
          <w:p w14:paraId="10C77B35">
            <w:pPr>
              <w:widowControl/>
              <w:spacing w:line="260" w:lineRule="exact"/>
              <w:ind w:left="-42" w:leftChars="-20" w:right="-42" w:rightChars="-20"/>
              <w:jc w:val="left"/>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1.建设项目用地预审与选址意见书的核发</w:t>
            </w:r>
          </w:p>
          <w:p w14:paraId="437C384C">
            <w:pPr>
              <w:widowControl/>
              <w:spacing w:line="260" w:lineRule="exact"/>
              <w:ind w:left="-42" w:leftChars="-20" w:right="-42" w:rightChars="-20"/>
              <w:jc w:val="left"/>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（0100148000）</w:t>
            </w:r>
          </w:p>
        </w:tc>
        <w:tc>
          <w:tcPr>
            <w:tcW w:w="7650" w:type="dxa"/>
            <w:vAlign w:val="center"/>
          </w:tcPr>
          <w:p w14:paraId="43E5EED8">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【法律】《中华人民共和国土地管理法》第五十二条  </w:t>
            </w:r>
          </w:p>
          <w:p w14:paraId="0DF97C69">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【行政法规】《中华人民共和国土地管理法实施条例》（国务院令第256号）第二十二条第一款第（一）项 </w:t>
            </w:r>
          </w:p>
          <w:p w14:paraId="5EC4B257">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【规章】《建设项目用地预审管理办法》（国土资源部令第42号）第四条  </w:t>
            </w:r>
          </w:p>
          <w:p w14:paraId="07B98E07">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【法律】《中华人民共和国城乡规划法》第三十六条第一款  </w:t>
            </w:r>
          </w:p>
          <w:p w14:paraId="4C9F70A4">
            <w:pPr>
              <w:widowControl/>
              <w:spacing w:line="260" w:lineRule="exact"/>
              <w:ind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【地方性法规】《江苏省城乡规划条例》第三十二条第一款、第四十九条 </w:t>
            </w:r>
          </w:p>
          <w:p w14:paraId="34C72E9F">
            <w:pPr>
              <w:widowControl/>
              <w:spacing w:line="260" w:lineRule="exact"/>
              <w:ind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【规范性文件】自然资源部《关于以“多规合一”为基础推进规划用地“多审合一、多证合一”改革的通知》（自然资规〔2019〕2 号）</w:t>
            </w:r>
          </w:p>
        </w:tc>
        <w:tc>
          <w:tcPr>
            <w:tcW w:w="1815" w:type="dxa"/>
            <w:vAlign w:val="center"/>
          </w:tcPr>
          <w:p w14:paraId="426934F0">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2250" w:type="dxa"/>
            <w:vAlign w:val="center"/>
          </w:tcPr>
          <w:p w14:paraId="2F1A0EBA">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将“建设项目用地预审（0100131001）”与“建设项目选址意见书的核发（0100148000）”合并为“建设项目用地预审与选址意见书的核发（0100148000）”。</w:t>
            </w:r>
          </w:p>
        </w:tc>
      </w:tr>
      <w:tr w14:paraId="1AB56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1830" w:type="dxa"/>
            <w:vAlign w:val="center"/>
          </w:tcPr>
          <w:p w14:paraId="52F1BB1B">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2.政府投资项目建议书审批</w:t>
            </w:r>
          </w:p>
        </w:tc>
        <w:tc>
          <w:tcPr>
            <w:tcW w:w="1807" w:type="dxa"/>
            <w:vAlign w:val="center"/>
          </w:tcPr>
          <w:p w14:paraId="6CE9204E">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2.政府投资项目建议书审批</w:t>
            </w:r>
          </w:p>
        </w:tc>
        <w:tc>
          <w:tcPr>
            <w:tcW w:w="7650" w:type="dxa"/>
            <w:vAlign w:val="center"/>
          </w:tcPr>
          <w:p w14:paraId="33611BCC">
            <w:pPr>
              <w:widowControl/>
              <w:spacing w:line="260" w:lineRule="exact"/>
              <w:ind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【行政法规】《政府投资条例》（国务院令第712号） 第九条　</w:t>
            </w:r>
          </w:p>
        </w:tc>
        <w:tc>
          <w:tcPr>
            <w:tcW w:w="1815" w:type="dxa"/>
            <w:vAlign w:val="center"/>
          </w:tcPr>
          <w:p w14:paraId="1B8E9B7F">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其他</w:t>
            </w:r>
          </w:p>
        </w:tc>
        <w:tc>
          <w:tcPr>
            <w:tcW w:w="2250" w:type="dxa"/>
            <w:vAlign w:val="center"/>
          </w:tcPr>
          <w:p w14:paraId="7CE57011">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w:t>
            </w:r>
          </w:p>
        </w:tc>
      </w:tr>
      <w:tr w14:paraId="1BE2B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30" w:type="dxa"/>
            <w:vAlign w:val="center"/>
          </w:tcPr>
          <w:p w14:paraId="33BD752E">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3.政府投资项目可行性研究报告审批（含工程建设项目招标事项核准）</w:t>
            </w:r>
          </w:p>
        </w:tc>
        <w:tc>
          <w:tcPr>
            <w:tcW w:w="1807" w:type="dxa"/>
            <w:vAlign w:val="center"/>
          </w:tcPr>
          <w:p w14:paraId="44B4577C">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3.政府投资项目可行性研究报告审批（含工程建设项目招标事项核准）</w:t>
            </w:r>
          </w:p>
        </w:tc>
        <w:tc>
          <w:tcPr>
            <w:tcW w:w="7650" w:type="dxa"/>
            <w:vAlign w:val="center"/>
          </w:tcPr>
          <w:p w14:paraId="476EC18B">
            <w:pPr>
              <w:widowControl/>
              <w:spacing w:line="260" w:lineRule="exact"/>
              <w:ind w:left="-42" w:leftChars="-20" w:right="-42" w:rightChars="-20"/>
              <w:jc w:val="left"/>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【行政法规】《政府投资条例》（国务院令第712号） 第九条　</w:t>
            </w:r>
          </w:p>
          <w:p w14:paraId="28F54AFF">
            <w:pPr>
              <w:widowControl/>
              <w:spacing w:line="260" w:lineRule="exact"/>
              <w:ind w:left="-42" w:leftChars="-20" w:right="-42" w:rightChars="-20"/>
              <w:jc w:val="left"/>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【法律】《中华人民共和国招标投标法》第三条 </w:t>
            </w:r>
          </w:p>
          <w:p w14:paraId="6B49B2A6">
            <w:pPr>
              <w:widowControl/>
              <w:spacing w:line="260" w:lineRule="exact"/>
              <w:ind w:left="-42" w:leftChars="-20" w:right="-42" w:rightChars="-20"/>
              <w:jc w:val="left"/>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【行政法规】《中华人民共和国招标投标法实施条例》（国务院令第613号）第四条、第七条、第八条 </w:t>
            </w:r>
          </w:p>
          <w:p w14:paraId="1433B214">
            <w:pPr>
              <w:widowControl/>
              <w:spacing w:line="260" w:lineRule="exact"/>
              <w:ind w:left="-42" w:leftChars="-20" w:right="-42" w:rightChars="-20"/>
              <w:jc w:val="left"/>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【规章】《工程建设项目货物招标投标办法》（国家发展改革委等七部门令第27号）第三十四条第三款、第四款</w:t>
            </w:r>
          </w:p>
          <w:p w14:paraId="18BA04C8">
            <w:pPr>
              <w:widowControl/>
              <w:spacing w:line="260" w:lineRule="exact"/>
              <w:ind w:left="-42" w:leftChars="-20" w:right="-42" w:rightChars="-20"/>
              <w:jc w:val="left"/>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【地方性法规】《江苏省招标投标条例》第五条 </w:t>
            </w:r>
          </w:p>
        </w:tc>
        <w:tc>
          <w:tcPr>
            <w:tcW w:w="1815" w:type="dxa"/>
            <w:vAlign w:val="center"/>
          </w:tcPr>
          <w:p w14:paraId="2DE0A1C5">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其他</w:t>
            </w:r>
          </w:p>
        </w:tc>
        <w:tc>
          <w:tcPr>
            <w:tcW w:w="2250" w:type="dxa"/>
            <w:vAlign w:val="center"/>
          </w:tcPr>
          <w:p w14:paraId="79DC94BF">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将“工程建设项目招标事项核准0100003000”事项纳入，一并审批。</w:t>
            </w:r>
          </w:p>
        </w:tc>
      </w:tr>
      <w:tr w14:paraId="1536E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30" w:type="dxa"/>
            <w:vAlign w:val="center"/>
          </w:tcPr>
          <w:p w14:paraId="308D61FE">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4.建设用地规划许可证的核发（含建设用地批准书）</w:t>
            </w:r>
          </w:p>
          <w:p w14:paraId="7FE3142C">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（0100149000）</w:t>
            </w:r>
          </w:p>
        </w:tc>
        <w:tc>
          <w:tcPr>
            <w:tcW w:w="1807" w:type="dxa"/>
            <w:vAlign w:val="center"/>
          </w:tcPr>
          <w:p w14:paraId="6EB517F9">
            <w:pPr>
              <w:widowControl/>
              <w:spacing w:line="260" w:lineRule="exact"/>
              <w:ind w:left="-42" w:leftChars="-20" w:right="-42" w:rightChars="-20"/>
              <w:jc w:val="left"/>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4.建设用地规划许可证的核发（含建设用地批准书）（0100149000）</w:t>
            </w:r>
          </w:p>
        </w:tc>
        <w:tc>
          <w:tcPr>
            <w:tcW w:w="7650" w:type="dxa"/>
            <w:vAlign w:val="center"/>
          </w:tcPr>
          <w:p w14:paraId="33A74073">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【法律】《中华人民共和国城乡规划法》第三十七条、第三十八条第二款</w:t>
            </w:r>
          </w:p>
          <w:p w14:paraId="15F4C90D">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【法律】《中华人民共和国土地管理法》第五十四条  </w:t>
            </w:r>
          </w:p>
          <w:p w14:paraId="28CCE65A">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【行政法规】《中华人民共和国土地管理法实施条例》（国务院令第256号）第二十二条  </w:t>
            </w:r>
          </w:p>
          <w:p w14:paraId="6644251A">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【规范性文件】自然资源部《关于以“多规合一”为基础推进规划用地“多审合一、多证合一”改革的通知》（自然资规〔2019〕2 号） </w:t>
            </w:r>
          </w:p>
        </w:tc>
        <w:tc>
          <w:tcPr>
            <w:tcW w:w="1815" w:type="dxa"/>
            <w:vAlign w:val="center"/>
          </w:tcPr>
          <w:p w14:paraId="35FD6859">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2250" w:type="dxa"/>
            <w:vAlign w:val="center"/>
          </w:tcPr>
          <w:p w14:paraId="073BA4AF">
            <w:pPr>
              <w:widowControl/>
              <w:spacing w:line="260" w:lineRule="exact"/>
              <w:ind w:left="-42" w:leftChars="-20" w:right="-42" w:rightChars="-20"/>
              <w:rPr>
                <w:rFonts w:hint="default" w:ascii="Times New Roman" w:hAnsi="Times New Roman" w:eastAsia="仿宋_GB2312" w:cs="Times New Roman"/>
                <w:color w:val="FF0000"/>
                <w:spacing w:val="-4"/>
                <w:kern w:val="0"/>
                <w:sz w:val="21"/>
                <w:szCs w:val="21"/>
              </w:rPr>
            </w:pPr>
            <w:r>
              <w:rPr>
                <w:rFonts w:hint="default" w:ascii="Times New Roman" w:hAnsi="Times New Roman" w:eastAsia="仿宋_GB2312" w:cs="Times New Roman"/>
                <w:color w:val="000000"/>
                <w:sz w:val="21"/>
                <w:szCs w:val="21"/>
              </w:rPr>
              <w:t>将“建设用地规划许可证的核发（0100149000）”和“建设用地供地审查（0100141000）”合并为“建设用地规划许可证的核发（0100149000）”</w:t>
            </w:r>
          </w:p>
        </w:tc>
      </w:tr>
      <w:tr w14:paraId="3F7EB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30" w:type="dxa"/>
            <w:vAlign w:val="center"/>
          </w:tcPr>
          <w:p w14:paraId="2DD678A4">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5.企业投资项目核准（含工程建设项目招标事项核准）</w:t>
            </w:r>
          </w:p>
          <w:p w14:paraId="3B2C4A08">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（0100001000）</w:t>
            </w:r>
          </w:p>
        </w:tc>
        <w:tc>
          <w:tcPr>
            <w:tcW w:w="1807" w:type="dxa"/>
            <w:vAlign w:val="center"/>
          </w:tcPr>
          <w:p w14:paraId="2E81E455">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5.企业投资项目核准（含工程建设项目招标事项核准）</w:t>
            </w:r>
          </w:p>
          <w:p w14:paraId="743616A3">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（0100001000）</w:t>
            </w:r>
          </w:p>
        </w:tc>
        <w:tc>
          <w:tcPr>
            <w:tcW w:w="7650" w:type="dxa"/>
            <w:vAlign w:val="center"/>
          </w:tcPr>
          <w:p w14:paraId="16417F64">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【规范性文件】《中共中央 国务院关于深化投融资体制改革的意见》（中发〔2016〕18号）第二条第二款</w:t>
            </w:r>
          </w:p>
          <w:p w14:paraId="412AC113">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【行政法规】《企业投资项目核准和备案管理条例》（国务院令第673号）第三条　</w:t>
            </w:r>
          </w:p>
          <w:p w14:paraId="7DC6BEEA">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【规章】《企业投资项目核准和备案管理办法》（国家发展改革委令第2号）第三条、第四条</w:t>
            </w:r>
          </w:p>
          <w:p w14:paraId="45E20FF3">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【规范性文件】《江苏省企业投资项目核准和备案管理办法》（苏政发〔2017〕88号）第三条、第四条、第五条  </w:t>
            </w:r>
          </w:p>
          <w:p w14:paraId="64587580">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【规范性文件】《省政府关于发布江苏省政府核准的投资项目目录（2017年本）的通知》（苏政发〔2017〕71号）第一条</w:t>
            </w:r>
          </w:p>
          <w:p w14:paraId="3F13BFCA">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【法律】《中华人民共和国招标投标法》第三条</w:t>
            </w:r>
          </w:p>
          <w:p w14:paraId="7FB0C20C">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【行政法规】《中华人民共和国招标投标法实施条例》（国务院令第613号） 第四条、第七条、第八条</w:t>
            </w:r>
          </w:p>
          <w:p w14:paraId="44680659">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【规章】《工程建设项目货物招标投标办法》（国家发展改革委等七部门令第27号）第三十四条第三款 、第四款 </w:t>
            </w:r>
          </w:p>
          <w:p w14:paraId="603AD9A6">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【地方性法规】《江苏省招标投标条例》 第五条 、第十条 </w:t>
            </w:r>
          </w:p>
        </w:tc>
        <w:tc>
          <w:tcPr>
            <w:tcW w:w="1815" w:type="dxa"/>
            <w:vAlign w:val="center"/>
          </w:tcPr>
          <w:p w14:paraId="394901C7">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2250" w:type="dxa"/>
            <w:vAlign w:val="center"/>
          </w:tcPr>
          <w:p w14:paraId="12E98813">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将“工程建设项目招标事项核准0100003000”事项纳入，一并审批。</w:t>
            </w:r>
          </w:p>
        </w:tc>
      </w:tr>
      <w:tr w14:paraId="304E3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0" w:hRule="atLeast"/>
          <w:jc w:val="center"/>
        </w:trPr>
        <w:tc>
          <w:tcPr>
            <w:tcW w:w="1830" w:type="dxa"/>
            <w:vAlign w:val="center"/>
          </w:tcPr>
          <w:p w14:paraId="28F32B97">
            <w:pPr>
              <w:widowControl/>
              <w:spacing w:line="24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6</w:t>
            </w:r>
            <w:r>
              <w:rPr>
                <w:rFonts w:hint="default" w:ascii="Times New Roman" w:hAnsi="Times New Roman" w:eastAsia="仿宋_GB2312" w:cs="Times New Roman"/>
                <w:color w:val="000000"/>
                <w:spacing w:val="-4"/>
                <w:kern w:val="0"/>
                <w:sz w:val="21"/>
                <w:szCs w:val="21"/>
              </w:rPr>
              <w:t>.危险化学品生产、储存建设项目安全条件审查</w:t>
            </w:r>
          </w:p>
          <w:p w14:paraId="4A5802E2">
            <w:pPr>
              <w:widowControl/>
              <w:spacing w:line="24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（0100384000）</w:t>
            </w:r>
          </w:p>
        </w:tc>
        <w:tc>
          <w:tcPr>
            <w:tcW w:w="1807" w:type="dxa"/>
            <w:vAlign w:val="center"/>
          </w:tcPr>
          <w:p w14:paraId="37BF3DD5">
            <w:pPr>
              <w:widowControl/>
              <w:spacing w:line="24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6</w:t>
            </w:r>
            <w:r>
              <w:rPr>
                <w:rFonts w:hint="default" w:ascii="Times New Roman" w:hAnsi="Times New Roman" w:eastAsia="仿宋_GB2312" w:cs="Times New Roman"/>
                <w:color w:val="000000"/>
                <w:spacing w:val="-4"/>
                <w:kern w:val="0"/>
                <w:sz w:val="21"/>
                <w:szCs w:val="21"/>
              </w:rPr>
              <w:t>.危险化学品生产、储存建设项目安全条件审查</w:t>
            </w:r>
          </w:p>
          <w:p w14:paraId="0F25AAE3">
            <w:pPr>
              <w:widowControl/>
              <w:spacing w:line="24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（0100384000）</w:t>
            </w:r>
          </w:p>
        </w:tc>
        <w:tc>
          <w:tcPr>
            <w:tcW w:w="7650" w:type="dxa"/>
            <w:vAlign w:val="center"/>
          </w:tcPr>
          <w:p w14:paraId="5D15A0B0">
            <w:pPr>
              <w:widowControl/>
              <w:spacing w:line="24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【行政法规】《危险化学品安全管理条例》（国务院令第344号公布，国务院令第645号修改）第十二条　</w:t>
            </w:r>
          </w:p>
          <w:p w14:paraId="09377DAB">
            <w:pPr>
              <w:widowControl/>
              <w:spacing w:line="24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【部门规章】《危险化学品建设项目安全监督管理实施办法》（国家安全监管总局令第45号）第四条、第五条、第六条 </w:t>
            </w:r>
          </w:p>
        </w:tc>
        <w:tc>
          <w:tcPr>
            <w:tcW w:w="1815" w:type="dxa"/>
            <w:vAlign w:val="center"/>
          </w:tcPr>
          <w:p w14:paraId="3ECF28FA">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2250" w:type="dxa"/>
            <w:vAlign w:val="center"/>
          </w:tcPr>
          <w:p w14:paraId="704341BC">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w:t>
            </w:r>
          </w:p>
        </w:tc>
      </w:tr>
      <w:tr w14:paraId="731FF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5" w:hRule="atLeast"/>
          <w:jc w:val="center"/>
        </w:trPr>
        <w:tc>
          <w:tcPr>
            <w:tcW w:w="1830" w:type="dxa"/>
            <w:vAlign w:val="center"/>
          </w:tcPr>
          <w:p w14:paraId="4B9F970F">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7</w:t>
            </w:r>
            <w:r>
              <w:rPr>
                <w:rFonts w:hint="default" w:ascii="Times New Roman" w:hAnsi="Times New Roman" w:eastAsia="仿宋_GB2312" w:cs="Times New Roman"/>
                <w:color w:val="000000"/>
                <w:spacing w:val="-4"/>
                <w:kern w:val="0"/>
                <w:sz w:val="21"/>
                <w:szCs w:val="21"/>
              </w:rPr>
              <w:t>.建设工程规划类许可证核发</w:t>
            </w:r>
          </w:p>
          <w:p w14:paraId="40D5D221">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（0100150000）</w:t>
            </w:r>
          </w:p>
        </w:tc>
        <w:tc>
          <w:tcPr>
            <w:tcW w:w="1807" w:type="dxa"/>
            <w:vAlign w:val="center"/>
          </w:tcPr>
          <w:p w14:paraId="17AE69A3">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7</w:t>
            </w:r>
            <w:r>
              <w:rPr>
                <w:rFonts w:hint="default" w:ascii="Times New Roman" w:hAnsi="Times New Roman" w:eastAsia="仿宋_GB2312" w:cs="Times New Roman"/>
                <w:color w:val="000000"/>
                <w:spacing w:val="-4"/>
                <w:kern w:val="0"/>
                <w:sz w:val="21"/>
                <w:szCs w:val="21"/>
              </w:rPr>
              <w:t>.建设工程（含临时建设）规划许可证核发</w:t>
            </w:r>
          </w:p>
          <w:p w14:paraId="108B6DC9">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（0100150001）</w:t>
            </w:r>
          </w:p>
        </w:tc>
        <w:tc>
          <w:tcPr>
            <w:tcW w:w="7650" w:type="dxa"/>
            <w:vAlign w:val="center"/>
          </w:tcPr>
          <w:p w14:paraId="13624D51">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【法律】《中华人民共和国城乡规划法》第四十条第一款 </w:t>
            </w:r>
          </w:p>
        </w:tc>
        <w:tc>
          <w:tcPr>
            <w:tcW w:w="1815" w:type="dxa"/>
            <w:vAlign w:val="center"/>
          </w:tcPr>
          <w:p w14:paraId="6E7AA416">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2250" w:type="dxa"/>
            <w:vAlign w:val="center"/>
          </w:tcPr>
          <w:p w14:paraId="7826AFD4">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以下事项调整为内部协作事项，由自然资源部门在工程设计方案审查时征求民族宗教事务部门、公安机关交通管理部门、国家安全部门、人防部门、气象部门意见：</w:t>
            </w:r>
          </w:p>
          <w:p w14:paraId="59645756">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1.在宗教活动场所内改建或者新建建筑物的审批（0100040000）；</w:t>
            </w:r>
          </w:p>
          <w:p w14:paraId="76EE105F">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2.建设项目交通影响评价（1000095000）；</w:t>
            </w:r>
          </w:p>
          <w:p w14:paraId="7045F274">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3.涉及国家安全事项的建设项目审批（0100089000）；</w:t>
            </w:r>
          </w:p>
          <w:p w14:paraId="4BAB0D3E">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4.城市地下空间开发利用兼顾人民防空要求的审批（0100432000）；</w:t>
            </w:r>
          </w:p>
          <w:p w14:paraId="5FDD5F42">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5.新建、扩建、改建建设工程避免危害气象探测环境审批（0100507000）。</w:t>
            </w:r>
          </w:p>
        </w:tc>
      </w:tr>
      <w:tr w14:paraId="5A011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1830" w:type="dxa"/>
            <w:vAlign w:val="center"/>
          </w:tcPr>
          <w:p w14:paraId="2466DCFB">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8.</w:t>
            </w:r>
            <w:r>
              <w:rPr>
                <w:rFonts w:hint="default" w:ascii="Times New Roman" w:hAnsi="Times New Roman" w:eastAsia="仿宋_GB2312" w:cs="Times New Roman"/>
                <w:color w:val="000000"/>
                <w:spacing w:val="-4"/>
                <w:kern w:val="0"/>
                <w:sz w:val="21"/>
                <w:szCs w:val="21"/>
              </w:rPr>
              <w:t>超限高层建筑工程抗震设防审批（0100156000）</w:t>
            </w:r>
          </w:p>
        </w:tc>
        <w:tc>
          <w:tcPr>
            <w:tcW w:w="1807" w:type="dxa"/>
            <w:vAlign w:val="center"/>
          </w:tcPr>
          <w:p w14:paraId="2595D4E0">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8</w:t>
            </w:r>
            <w:r>
              <w:rPr>
                <w:rFonts w:hint="default" w:ascii="Times New Roman" w:hAnsi="Times New Roman" w:eastAsia="仿宋_GB2312" w:cs="Times New Roman"/>
                <w:color w:val="000000"/>
                <w:spacing w:val="-4"/>
                <w:kern w:val="0"/>
                <w:sz w:val="21"/>
                <w:szCs w:val="21"/>
              </w:rPr>
              <w:t>.超限高层建筑工程抗震设防审批</w:t>
            </w:r>
          </w:p>
          <w:p w14:paraId="11F26339">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（0100156000）</w:t>
            </w:r>
          </w:p>
        </w:tc>
        <w:tc>
          <w:tcPr>
            <w:tcW w:w="7650" w:type="dxa"/>
            <w:vAlign w:val="center"/>
          </w:tcPr>
          <w:p w14:paraId="11280BEE">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【行政法规】《国务院对确需保留的行政审批项目设定行政许可的决定》（国务院令第412号公布，国务院令第671号修改）第108项</w:t>
            </w:r>
          </w:p>
          <w:p w14:paraId="0CDD2097">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【规章】《超限高层建筑工程抗震设防管理规定》（建设部令第111号）第六条第一款  </w:t>
            </w:r>
          </w:p>
        </w:tc>
        <w:tc>
          <w:tcPr>
            <w:tcW w:w="1815" w:type="dxa"/>
            <w:vAlign w:val="center"/>
          </w:tcPr>
          <w:p w14:paraId="29808FBD">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2250" w:type="dxa"/>
            <w:vAlign w:val="center"/>
          </w:tcPr>
          <w:p w14:paraId="2C9D8AD4">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p>
        </w:tc>
      </w:tr>
      <w:tr w14:paraId="6FAC7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30" w:type="dxa"/>
            <w:vAlign w:val="center"/>
          </w:tcPr>
          <w:p w14:paraId="055CC1F6">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9</w:t>
            </w:r>
            <w:r>
              <w:rPr>
                <w:rFonts w:hint="default" w:ascii="Times New Roman" w:hAnsi="Times New Roman" w:eastAsia="仿宋_GB2312" w:cs="Times New Roman"/>
                <w:color w:val="000000"/>
                <w:spacing w:val="-4"/>
                <w:kern w:val="0"/>
                <w:sz w:val="21"/>
                <w:szCs w:val="21"/>
              </w:rPr>
              <w:t>.建设项目安全设施设计审查</w:t>
            </w:r>
          </w:p>
          <w:p w14:paraId="6491B468">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（0100381000）</w:t>
            </w:r>
          </w:p>
        </w:tc>
        <w:tc>
          <w:tcPr>
            <w:tcW w:w="1807" w:type="dxa"/>
            <w:vAlign w:val="center"/>
          </w:tcPr>
          <w:p w14:paraId="506E22E8">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9</w:t>
            </w:r>
            <w:r>
              <w:rPr>
                <w:rFonts w:hint="default" w:ascii="Times New Roman" w:hAnsi="Times New Roman" w:eastAsia="仿宋_GB2312" w:cs="Times New Roman"/>
                <w:color w:val="000000"/>
                <w:spacing w:val="-4"/>
                <w:kern w:val="0"/>
                <w:sz w:val="21"/>
                <w:szCs w:val="21"/>
              </w:rPr>
              <w:t>.危险化学品建设项目安全设施设计审查</w:t>
            </w:r>
          </w:p>
          <w:p w14:paraId="38D58A25">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（0100381002）</w:t>
            </w:r>
          </w:p>
        </w:tc>
        <w:tc>
          <w:tcPr>
            <w:tcW w:w="7650" w:type="dxa"/>
            <w:vAlign w:val="center"/>
          </w:tcPr>
          <w:p w14:paraId="77C8EC15">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【法律】《中华人民共和国安全生产法》第三十条   </w:t>
            </w:r>
          </w:p>
          <w:p w14:paraId="56DC0DC2">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【规章】《危险化学品建设项目安全监督管理办法》（国家安全生产监督管理总局令第45号）第三条、第四条、第五条、第六条、第十六条</w:t>
            </w:r>
          </w:p>
        </w:tc>
        <w:tc>
          <w:tcPr>
            <w:tcW w:w="1815" w:type="dxa"/>
            <w:vAlign w:val="center"/>
          </w:tcPr>
          <w:p w14:paraId="42F25BB5">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2250" w:type="dxa"/>
            <w:vAlign w:val="center"/>
          </w:tcPr>
          <w:p w14:paraId="39DADF40">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w:t>
            </w:r>
          </w:p>
        </w:tc>
      </w:tr>
      <w:tr w14:paraId="760AF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30" w:type="dxa"/>
            <w:vAlign w:val="center"/>
          </w:tcPr>
          <w:p w14:paraId="3C003E34">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10</w:t>
            </w:r>
            <w:r>
              <w:rPr>
                <w:rFonts w:hint="default" w:ascii="Times New Roman" w:hAnsi="Times New Roman" w:eastAsia="仿宋_GB2312" w:cs="Times New Roman"/>
                <w:color w:val="000000"/>
                <w:spacing w:val="-4"/>
                <w:kern w:val="0"/>
                <w:sz w:val="21"/>
                <w:szCs w:val="21"/>
              </w:rPr>
              <w:t>.建设工程验线</w:t>
            </w:r>
          </w:p>
          <w:p w14:paraId="03CC310D">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（1000196000）</w:t>
            </w:r>
          </w:p>
        </w:tc>
        <w:tc>
          <w:tcPr>
            <w:tcW w:w="1807" w:type="dxa"/>
            <w:vAlign w:val="center"/>
          </w:tcPr>
          <w:p w14:paraId="74159ED6">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10</w:t>
            </w:r>
            <w:r>
              <w:rPr>
                <w:rFonts w:hint="default" w:ascii="Times New Roman" w:hAnsi="Times New Roman" w:eastAsia="仿宋_GB2312" w:cs="Times New Roman"/>
                <w:color w:val="000000"/>
                <w:spacing w:val="-4"/>
                <w:kern w:val="0"/>
                <w:sz w:val="21"/>
                <w:szCs w:val="21"/>
              </w:rPr>
              <w:t>.建设工程验线</w:t>
            </w:r>
          </w:p>
          <w:p w14:paraId="52EF4D9F">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（1000196000）</w:t>
            </w:r>
          </w:p>
        </w:tc>
        <w:tc>
          <w:tcPr>
            <w:tcW w:w="7650" w:type="dxa"/>
            <w:vAlign w:val="center"/>
          </w:tcPr>
          <w:p w14:paraId="162F50B8">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【地方性法规】《江苏省城乡规划条例》第四十四条 </w:t>
            </w:r>
          </w:p>
        </w:tc>
        <w:tc>
          <w:tcPr>
            <w:tcW w:w="1815" w:type="dxa"/>
            <w:vAlign w:val="center"/>
          </w:tcPr>
          <w:p w14:paraId="2F5035AE">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其他</w:t>
            </w:r>
          </w:p>
        </w:tc>
        <w:tc>
          <w:tcPr>
            <w:tcW w:w="2250" w:type="dxa"/>
            <w:vAlign w:val="center"/>
          </w:tcPr>
          <w:p w14:paraId="6CAB14BD">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w:t>
            </w:r>
          </w:p>
        </w:tc>
      </w:tr>
      <w:tr w14:paraId="21560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jc w:val="center"/>
        </w:trPr>
        <w:tc>
          <w:tcPr>
            <w:tcW w:w="1830" w:type="dxa"/>
            <w:vAlign w:val="center"/>
          </w:tcPr>
          <w:p w14:paraId="6D0EB191">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11</w:t>
            </w:r>
            <w:r>
              <w:rPr>
                <w:rFonts w:hint="default" w:ascii="Times New Roman" w:hAnsi="Times New Roman" w:eastAsia="仿宋_GB2312" w:cs="Times New Roman"/>
                <w:color w:val="000000"/>
                <w:spacing w:val="-4"/>
                <w:kern w:val="0"/>
                <w:sz w:val="21"/>
                <w:szCs w:val="21"/>
              </w:rPr>
              <w:t>.特殊建设工程消防设计审查</w:t>
            </w:r>
          </w:p>
        </w:tc>
        <w:tc>
          <w:tcPr>
            <w:tcW w:w="1807" w:type="dxa"/>
            <w:vAlign w:val="center"/>
          </w:tcPr>
          <w:p w14:paraId="25679F7F">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11</w:t>
            </w:r>
            <w:r>
              <w:rPr>
                <w:rFonts w:hint="default" w:ascii="Times New Roman" w:hAnsi="Times New Roman" w:eastAsia="仿宋_GB2312" w:cs="Times New Roman"/>
                <w:color w:val="000000"/>
                <w:spacing w:val="-4"/>
                <w:kern w:val="0"/>
                <w:sz w:val="21"/>
                <w:szCs w:val="21"/>
              </w:rPr>
              <w:t>.特殊建设工程消防设计审查</w:t>
            </w:r>
          </w:p>
        </w:tc>
        <w:tc>
          <w:tcPr>
            <w:tcW w:w="7650" w:type="dxa"/>
            <w:vAlign w:val="center"/>
          </w:tcPr>
          <w:p w14:paraId="7C04F410">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【法律】《中华人民共和国消防法》（根据2019年4月23日第十三届全国人民代表大会常务委员会第十次会议《关于修改〈中华人民共和国建筑法〉等八部法律的决定》修正）第十条、第十一条　</w:t>
            </w:r>
          </w:p>
        </w:tc>
        <w:tc>
          <w:tcPr>
            <w:tcW w:w="1815" w:type="dxa"/>
            <w:vAlign w:val="center"/>
          </w:tcPr>
          <w:p w14:paraId="1438401F">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2250" w:type="dxa"/>
            <w:vAlign w:val="center"/>
          </w:tcPr>
          <w:p w14:paraId="27B240B1">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w:t>
            </w:r>
          </w:p>
        </w:tc>
      </w:tr>
      <w:tr w14:paraId="6398F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1" w:hRule="atLeast"/>
          <w:jc w:val="center"/>
        </w:trPr>
        <w:tc>
          <w:tcPr>
            <w:tcW w:w="1830" w:type="dxa"/>
            <w:vAlign w:val="center"/>
          </w:tcPr>
          <w:p w14:paraId="31148F55">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12</w:t>
            </w:r>
            <w:r>
              <w:rPr>
                <w:rFonts w:hint="default" w:ascii="Times New Roman" w:hAnsi="Times New Roman" w:eastAsia="仿宋_GB2312" w:cs="Times New Roman"/>
                <w:color w:val="000000"/>
                <w:spacing w:val="-4"/>
                <w:kern w:val="0"/>
                <w:sz w:val="21"/>
                <w:szCs w:val="21"/>
              </w:rPr>
              <w:t>.建筑工程施工许可证的发放</w:t>
            </w:r>
          </w:p>
          <w:p w14:paraId="299D8DB5">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（0100157000）</w:t>
            </w:r>
          </w:p>
        </w:tc>
        <w:tc>
          <w:tcPr>
            <w:tcW w:w="1807" w:type="dxa"/>
            <w:vAlign w:val="center"/>
          </w:tcPr>
          <w:p w14:paraId="75AFAAD6">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12</w:t>
            </w:r>
            <w:r>
              <w:rPr>
                <w:rFonts w:hint="default" w:ascii="Times New Roman" w:hAnsi="Times New Roman" w:eastAsia="仿宋_GB2312" w:cs="Times New Roman"/>
                <w:color w:val="000000"/>
                <w:spacing w:val="-4"/>
                <w:kern w:val="0"/>
                <w:sz w:val="21"/>
                <w:szCs w:val="21"/>
              </w:rPr>
              <w:t>.建筑工程施工许可证的发放</w:t>
            </w:r>
          </w:p>
          <w:p w14:paraId="2A10F89A">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（0100157000）</w:t>
            </w:r>
          </w:p>
        </w:tc>
        <w:tc>
          <w:tcPr>
            <w:tcW w:w="7650" w:type="dxa"/>
            <w:vAlign w:val="center"/>
          </w:tcPr>
          <w:p w14:paraId="48625848">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【法律】《中华人民共和国建筑法》第七条 </w:t>
            </w:r>
          </w:p>
          <w:p w14:paraId="148006C2">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【规章】《建筑工程施工许可管理办法》（ 2014年6月25日住房和城乡建设部令第18号发布，根据2018年9月28日住房和城乡建设部令第42号修正） 第二条、第九条 </w:t>
            </w:r>
          </w:p>
          <w:p w14:paraId="3962F862">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【规范性文件】《省政府关于公布企业投资项目省级部门不再审批事项清单（第一批）的决定》（苏政发（2017）82号）序号18</w:t>
            </w:r>
          </w:p>
          <w:p w14:paraId="19E9499A">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【行政法规】《建设工程质量管理条例》（国务院令第279号，国务院令第714号修订）第十三条  </w:t>
            </w:r>
          </w:p>
          <w:p w14:paraId="5F65112F">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【规范性文件】《房屋建筑和市政基础设施工程施工安全监督规定》（建质〔2014〕153号）（根据《住房和城乡建设部关于修改有关文件的通知》（建法规〔2019〕3号）修改） 第七条</w:t>
            </w:r>
          </w:p>
          <w:p w14:paraId="567B93F2">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【规范性文件】《房屋建筑和市政基础设施工程施工安全监督工作规程》（建质〔2014〕154号）（根据《住房和城乡建设部关于修改有关文件的通知》（建法规〔2019〕3号）修改）第四条 </w:t>
            </w:r>
          </w:p>
          <w:p w14:paraId="236345DE">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【地方性法规】《江苏省实施&lt;中华人民共和国人民防空法&gt;办法》第十三条第四款  </w:t>
            </w:r>
          </w:p>
        </w:tc>
        <w:tc>
          <w:tcPr>
            <w:tcW w:w="1815" w:type="dxa"/>
            <w:vAlign w:val="center"/>
          </w:tcPr>
          <w:p w14:paraId="61B3D93E">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2250" w:type="dxa"/>
            <w:vAlign w:val="center"/>
          </w:tcPr>
          <w:p w14:paraId="1DAEEB9A">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将“工程质量监督手续”、“建设工程安全监管手续”、“人防工程质量监督1000483000”事项并入。</w:t>
            </w:r>
          </w:p>
        </w:tc>
      </w:tr>
      <w:tr w14:paraId="5EE66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1" w:hRule="atLeast"/>
          <w:jc w:val="center"/>
        </w:trPr>
        <w:tc>
          <w:tcPr>
            <w:tcW w:w="1830" w:type="dxa"/>
            <w:vAlign w:val="center"/>
          </w:tcPr>
          <w:p w14:paraId="57191F39">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13</w:t>
            </w:r>
            <w:r>
              <w:rPr>
                <w:rFonts w:hint="default" w:ascii="Times New Roman" w:hAnsi="Times New Roman" w:eastAsia="仿宋_GB2312" w:cs="Times New Roman"/>
                <w:color w:val="000000"/>
                <w:spacing w:val="-4"/>
                <w:kern w:val="0"/>
                <w:sz w:val="21"/>
                <w:szCs w:val="21"/>
              </w:rPr>
              <w:t>.城市建筑垃圾处置核准</w:t>
            </w:r>
          </w:p>
          <w:p w14:paraId="45E2254C">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（0100174000）</w:t>
            </w:r>
          </w:p>
        </w:tc>
        <w:tc>
          <w:tcPr>
            <w:tcW w:w="1807" w:type="dxa"/>
            <w:vAlign w:val="center"/>
          </w:tcPr>
          <w:p w14:paraId="4AC5CF41">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13</w:t>
            </w:r>
            <w:r>
              <w:rPr>
                <w:rFonts w:hint="default" w:ascii="Times New Roman" w:hAnsi="Times New Roman" w:eastAsia="仿宋_GB2312" w:cs="Times New Roman"/>
                <w:color w:val="000000"/>
                <w:spacing w:val="-4"/>
                <w:kern w:val="0"/>
                <w:sz w:val="21"/>
                <w:szCs w:val="21"/>
              </w:rPr>
              <w:t>.城市建筑垃圾处置核准</w:t>
            </w:r>
          </w:p>
          <w:p w14:paraId="5ED3E94E">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（0100174000）</w:t>
            </w:r>
          </w:p>
        </w:tc>
        <w:tc>
          <w:tcPr>
            <w:tcW w:w="7650" w:type="dxa"/>
            <w:vAlign w:val="center"/>
          </w:tcPr>
          <w:p w14:paraId="0457B779">
            <w:pPr>
              <w:widowControl/>
              <w:spacing w:line="24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【行政法规】《国务院对确需保留的行政审批项目设定行政许可的决定》（国务院第412号令公布，国务院令第671号修改）</w:t>
            </w:r>
          </w:p>
          <w:p w14:paraId="25AEA955">
            <w:pPr>
              <w:widowControl/>
              <w:spacing w:line="24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第101项</w:t>
            </w:r>
          </w:p>
          <w:p w14:paraId="0FE287C7">
            <w:pPr>
              <w:widowControl/>
              <w:spacing w:line="24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【地方性法规】《江苏省固体废物污染环境防治条例》第二十条第二款 </w:t>
            </w:r>
          </w:p>
          <w:p w14:paraId="217BB55A">
            <w:pPr>
              <w:widowControl/>
              <w:spacing w:line="24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【规章】《城市建筑垃圾管理规定》（建设部令第139号）第七条 </w:t>
            </w:r>
          </w:p>
        </w:tc>
        <w:tc>
          <w:tcPr>
            <w:tcW w:w="1815" w:type="dxa"/>
            <w:vAlign w:val="center"/>
          </w:tcPr>
          <w:p w14:paraId="41AADB51">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2250" w:type="dxa"/>
            <w:vAlign w:val="center"/>
          </w:tcPr>
          <w:p w14:paraId="1A3F4C3F">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w:t>
            </w:r>
          </w:p>
        </w:tc>
      </w:tr>
      <w:tr w14:paraId="4604E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jc w:val="center"/>
        </w:trPr>
        <w:tc>
          <w:tcPr>
            <w:tcW w:w="1830" w:type="dxa"/>
            <w:vAlign w:val="center"/>
          </w:tcPr>
          <w:p w14:paraId="3C8A3CAA">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14</w:t>
            </w:r>
            <w:r>
              <w:rPr>
                <w:rFonts w:hint="default" w:ascii="Times New Roman" w:hAnsi="Times New Roman" w:eastAsia="仿宋_GB2312" w:cs="Times New Roman"/>
                <w:color w:val="000000"/>
                <w:spacing w:val="-4"/>
                <w:kern w:val="0"/>
                <w:sz w:val="21"/>
                <w:szCs w:val="21"/>
              </w:rPr>
              <w:t>.建筑起重机械使用登记</w:t>
            </w:r>
          </w:p>
        </w:tc>
        <w:tc>
          <w:tcPr>
            <w:tcW w:w="1807" w:type="dxa"/>
            <w:vAlign w:val="center"/>
          </w:tcPr>
          <w:p w14:paraId="746CDA80">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14</w:t>
            </w:r>
            <w:r>
              <w:rPr>
                <w:rFonts w:hint="default" w:ascii="Times New Roman" w:hAnsi="Times New Roman" w:eastAsia="仿宋_GB2312" w:cs="Times New Roman"/>
                <w:color w:val="000000"/>
                <w:spacing w:val="-4"/>
                <w:kern w:val="0"/>
                <w:sz w:val="21"/>
                <w:szCs w:val="21"/>
              </w:rPr>
              <w:t>.建筑起重机械使用登记</w:t>
            </w:r>
          </w:p>
        </w:tc>
        <w:tc>
          <w:tcPr>
            <w:tcW w:w="7650" w:type="dxa"/>
            <w:vAlign w:val="center"/>
          </w:tcPr>
          <w:p w14:paraId="3F46D273">
            <w:pPr>
              <w:widowControl/>
              <w:spacing w:line="24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【法律】《中华人民共和国特种设备安全法》第三十三条 </w:t>
            </w:r>
          </w:p>
          <w:p w14:paraId="24F577CE">
            <w:pPr>
              <w:widowControl/>
              <w:spacing w:line="24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【行政法规】《特种设备安全监察条例》（国务院令第373号发布，国务院令第549号修改）第二十五条 </w:t>
            </w:r>
          </w:p>
          <w:p w14:paraId="0D4B84FC">
            <w:pPr>
              <w:widowControl/>
              <w:spacing w:line="24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【规章】《建筑起重机械安全监督管理规定》（中华人民共和国建设部令第166号）第十七条 </w:t>
            </w:r>
          </w:p>
        </w:tc>
        <w:tc>
          <w:tcPr>
            <w:tcW w:w="1815" w:type="dxa"/>
            <w:vAlign w:val="center"/>
          </w:tcPr>
          <w:p w14:paraId="1F9575A3">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2250" w:type="dxa"/>
            <w:vAlign w:val="center"/>
          </w:tcPr>
          <w:p w14:paraId="32CD21FE">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w:t>
            </w:r>
          </w:p>
        </w:tc>
      </w:tr>
      <w:tr w14:paraId="1ADEA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30" w:type="dxa"/>
            <w:vMerge w:val="restart"/>
            <w:vAlign w:val="center"/>
          </w:tcPr>
          <w:p w14:paraId="71ED7183">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15</w:t>
            </w:r>
            <w:r>
              <w:rPr>
                <w:rFonts w:hint="default" w:ascii="Times New Roman" w:hAnsi="Times New Roman" w:eastAsia="仿宋_GB2312" w:cs="Times New Roman"/>
                <w:color w:val="000000"/>
                <w:spacing w:val="-4"/>
                <w:kern w:val="0"/>
                <w:sz w:val="21"/>
                <w:szCs w:val="21"/>
              </w:rPr>
              <w:t>.市政设施建设类审批</w:t>
            </w:r>
          </w:p>
          <w:p w14:paraId="62D7CA3C">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（0100166000）</w:t>
            </w:r>
          </w:p>
        </w:tc>
        <w:tc>
          <w:tcPr>
            <w:tcW w:w="1807" w:type="dxa"/>
            <w:vAlign w:val="center"/>
          </w:tcPr>
          <w:p w14:paraId="01B67D0F">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15</w:t>
            </w:r>
            <w:r>
              <w:rPr>
                <w:rFonts w:hint="default" w:ascii="Times New Roman" w:hAnsi="Times New Roman" w:eastAsia="仿宋_GB2312" w:cs="Times New Roman"/>
                <w:color w:val="000000"/>
                <w:spacing w:val="-4"/>
                <w:kern w:val="0"/>
                <w:sz w:val="21"/>
                <w:szCs w:val="21"/>
              </w:rPr>
              <w:t>.占用、挖掘城市道路审批</w:t>
            </w:r>
          </w:p>
          <w:p w14:paraId="1A3CEC8D">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（0100166001）</w:t>
            </w:r>
          </w:p>
        </w:tc>
        <w:tc>
          <w:tcPr>
            <w:tcW w:w="7650" w:type="dxa"/>
            <w:vAlign w:val="center"/>
          </w:tcPr>
          <w:p w14:paraId="6B09F813">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【行政法规】《城市道路管理条例》（国务院令第198号发布，国务院令第710号修改）第三十一条第一款、第三十三条第一款、第三十四条　</w:t>
            </w:r>
          </w:p>
        </w:tc>
        <w:tc>
          <w:tcPr>
            <w:tcW w:w="1815" w:type="dxa"/>
            <w:vAlign w:val="center"/>
          </w:tcPr>
          <w:p w14:paraId="06ED48DC">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2250" w:type="dxa"/>
            <w:vAlign w:val="center"/>
          </w:tcPr>
          <w:p w14:paraId="2CB331D0">
            <w:pPr>
              <w:widowControl/>
              <w:spacing w:line="260" w:lineRule="exact"/>
              <w:ind w:left="-42" w:leftChars="-20" w:right="-42" w:rightChars="-20"/>
              <w:rPr>
                <w:rFonts w:hint="eastAsia" w:ascii="Times New Roman" w:hAnsi="Times New Roman" w:eastAsia="仿宋_GB2312" w:cs="Times New Roman"/>
                <w:color w:val="000000"/>
                <w:spacing w:val="-4"/>
                <w:kern w:val="0"/>
                <w:sz w:val="21"/>
                <w:szCs w:val="21"/>
                <w:lang w:eastAsia="zh-CN"/>
              </w:rPr>
            </w:pPr>
            <w:r>
              <w:rPr>
                <w:rFonts w:hint="eastAsia" w:ascii="Times New Roman" w:hAnsi="Times New Roman" w:eastAsia="仿宋_GB2312" w:cs="Times New Roman"/>
                <w:color w:val="000000"/>
                <w:spacing w:val="-4"/>
                <w:kern w:val="0"/>
                <w:sz w:val="21"/>
                <w:szCs w:val="21"/>
                <w:lang w:eastAsia="zh-CN"/>
              </w:rPr>
              <w:t>将“</w:t>
            </w:r>
            <w:r>
              <w:rPr>
                <w:rFonts w:hint="default" w:ascii="Times New Roman" w:hAnsi="Times New Roman" w:eastAsia="仿宋_GB2312" w:cs="Times New Roman"/>
                <w:color w:val="000000"/>
                <w:spacing w:val="-4"/>
                <w:kern w:val="0"/>
                <w:sz w:val="21"/>
                <w:szCs w:val="21"/>
              </w:rPr>
              <w:t>依附于城市道路建设各种管线、杆线等设施审批（0100166002）</w:t>
            </w:r>
            <w:r>
              <w:rPr>
                <w:rFonts w:hint="eastAsia" w:ascii="Times New Roman" w:hAnsi="Times New Roman" w:eastAsia="仿宋_GB2312" w:cs="Times New Roman"/>
                <w:color w:val="000000"/>
                <w:spacing w:val="-4"/>
                <w:kern w:val="0"/>
                <w:sz w:val="21"/>
                <w:szCs w:val="21"/>
                <w:lang w:eastAsia="zh-CN"/>
              </w:rPr>
              <w:t>”、“</w:t>
            </w:r>
            <w:r>
              <w:rPr>
                <w:rFonts w:hint="default" w:ascii="Times New Roman" w:hAnsi="Times New Roman" w:eastAsia="仿宋_GB2312" w:cs="Times New Roman"/>
                <w:color w:val="000000"/>
                <w:spacing w:val="-4"/>
                <w:kern w:val="0"/>
                <w:sz w:val="21"/>
                <w:szCs w:val="21"/>
              </w:rPr>
              <w:t>城市桥梁上架设各类市政管线审批（0100166003）</w:t>
            </w:r>
            <w:r>
              <w:rPr>
                <w:rFonts w:hint="eastAsia" w:ascii="Times New Roman" w:hAnsi="Times New Roman" w:eastAsia="仿宋_GB2312" w:cs="Times New Roman"/>
                <w:color w:val="000000"/>
                <w:spacing w:val="-4"/>
                <w:kern w:val="0"/>
                <w:sz w:val="21"/>
                <w:szCs w:val="21"/>
                <w:lang w:eastAsia="zh-CN"/>
              </w:rPr>
              <w:t>”事项并入</w:t>
            </w:r>
          </w:p>
          <w:p w14:paraId="6F86940C">
            <w:pPr>
              <w:widowControl/>
              <w:spacing w:line="260" w:lineRule="exact"/>
              <w:ind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列为“市政设施建设类审批”事项子项。</w:t>
            </w:r>
          </w:p>
        </w:tc>
      </w:tr>
      <w:tr w14:paraId="31093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830" w:type="dxa"/>
            <w:vMerge w:val="continue"/>
            <w:vAlign w:val="center"/>
          </w:tcPr>
          <w:p w14:paraId="7DCBA939">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p>
        </w:tc>
        <w:tc>
          <w:tcPr>
            <w:tcW w:w="1807" w:type="dxa"/>
            <w:vAlign w:val="center"/>
          </w:tcPr>
          <w:p w14:paraId="260BBBC8">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16</w:t>
            </w:r>
            <w:r>
              <w:rPr>
                <w:rFonts w:hint="default" w:ascii="Times New Roman" w:hAnsi="Times New Roman" w:eastAsia="仿宋_GB2312" w:cs="Times New Roman"/>
                <w:color w:val="000000"/>
                <w:spacing w:val="-4"/>
                <w:kern w:val="0"/>
                <w:sz w:val="21"/>
                <w:szCs w:val="21"/>
              </w:rPr>
              <w:t>.临时占用城市绿地审批</w:t>
            </w:r>
          </w:p>
          <w:p w14:paraId="51270366">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（0100169001）</w:t>
            </w:r>
          </w:p>
        </w:tc>
        <w:tc>
          <w:tcPr>
            <w:tcW w:w="7650" w:type="dxa"/>
            <w:vAlign w:val="center"/>
          </w:tcPr>
          <w:p w14:paraId="11F75881">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【行政法规】《城市绿化条例》（国务院令第100号发布，国务院令第676号修订）第十九条 </w:t>
            </w:r>
          </w:p>
          <w:p w14:paraId="7F559BC4">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p>
        </w:tc>
        <w:tc>
          <w:tcPr>
            <w:tcW w:w="1815" w:type="dxa"/>
            <w:vAlign w:val="center"/>
          </w:tcPr>
          <w:p w14:paraId="49EDFDAB">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2250" w:type="dxa"/>
            <w:vAlign w:val="center"/>
          </w:tcPr>
          <w:p w14:paraId="13CF08CD">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列为“市政设施建设类审批”事项子项。</w:t>
            </w:r>
          </w:p>
        </w:tc>
      </w:tr>
      <w:tr w14:paraId="5844D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jc w:val="center"/>
        </w:trPr>
        <w:tc>
          <w:tcPr>
            <w:tcW w:w="1830" w:type="dxa"/>
            <w:vMerge w:val="continue"/>
            <w:vAlign w:val="center"/>
          </w:tcPr>
          <w:p w14:paraId="7C29C82E">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p>
        </w:tc>
        <w:tc>
          <w:tcPr>
            <w:tcW w:w="1807" w:type="dxa"/>
            <w:vAlign w:val="center"/>
          </w:tcPr>
          <w:p w14:paraId="64E75AFD">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17</w:t>
            </w:r>
            <w:r>
              <w:rPr>
                <w:rFonts w:hint="default" w:ascii="Times New Roman" w:hAnsi="Times New Roman" w:eastAsia="仿宋_GB2312" w:cs="Times New Roman"/>
                <w:color w:val="000000"/>
                <w:spacing w:val="-4"/>
                <w:kern w:val="0"/>
                <w:sz w:val="21"/>
                <w:szCs w:val="21"/>
              </w:rPr>
              <w:t>.砍伐城市树木、迁移古树名木审批</w:t>
            </w:r>
          </w:p>
          <w:p w14:paraId="0236B4F9">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（0100169002）</w:t>
            </w:r>
          </w:p>
        </w:tc>
        <w:tc>
          <w:tcPr>
            <w:tcW w:w="7650" w:type="dxa"/>
            <w:vAlign w:val="center"/>
          </w:tcPr>
          <w:p w14:paraId="47F63335">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【行政法规】《城市绿化条例》（国务院令第100号发布，国务院令第676号修订）第二十条、第二十四条第三款  </w:t>
            </w:r>
          </w:p>
          <w:p w14:paraId="07CC29B0">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地方性法规】《江苏省城市绿化管理条例》（2018年3月28日江苏省第十三届人民代表大会常务委员会第二次会议《关于修改〈江苏省大气污染防治条例〉等十六件地方性法规的决定》第三次修正）第二十条第一款、第二十一条第二款  </w:t>
            </w:r>
          </w:p>
        </w:tc>
        <w:tc>
          <w:tcPr>
            <w:tcW w:w="1815" w:type="dxa"/>
            <w:vAlign w:val="center"/>
          </w:tcPr>
          <w:p w14:paraId="4ED12600">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2250" w:type="dxa"/>
            <w:vAlign w:val="center"/>
          </w:tcPr>
          <w:p w14:paraId="063BEA75">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列为“市政设施建设类审批”事项子项。</w:t>
            </w:r>
          </w:p>
        </w:tc>
      </w:tr>
      <w:tr w14:paraId="15141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30" w:type="dxa"/>
            <w:vAlign w:val="center"/>
          </w:tcPr>
          <w:p w14:paraId="7F0E4AEB">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16</w:t>
            </w:r>
            <w:r>
              <w:rPr>
                <w:rFonts w:hint="default" w:ascii="Times New Roman" w:hAnsi="Times New Roman" w:eastAsia="仿宋_GB2312" w:cs="Times New Roman"/>
                <w:color w:val="000000"/>
                <w:spacing w:val="-4"/>
                <w:kern w:val="0"/>
                <w:sz w:val="21"/>
                <w:szCs w:val="21"/>
              </w:rPr>
              <w:t>.政府投资项目初步设计审批</w:t>
            </w:r>
          </w:p>
        </w:tc>
        <w:tc>
          <w:tcPr>
            <w:tcW w:w="1807" w:type="dxa"/>
            <w:vAlign w:val="center"/>
          </w:tcPr>
          <w:p w14:paraId="65962FEE">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18</w:t>
            </w:r>
            <w:r>
              <w:rPr>
                <w:rFonts w:hint="default" w:ascii="Times New Roman" w:hAnsi="Times New Roman" w:eastAsia="仿宋_GB2312" w:cs="Times New Roman"/>
                <w:color w:val="000000"/>
                <w:spacing w:val="-4"/>
                <w:kern w:val="0"/>
                <w:sz w:val="21"/>
                <w:szCs w:val="21"/>
              </w:rPr>
              <w:t>.政府投资项目初步设计审批</w:t>
            </w:r>
          </w:p>
        </w:tc>
        <w:tc>
          <w:tcPr>
            <w:tcW w:w="7650" w:type="dxa"/>
            <w:vAlign w:val="center"/>
          </w:tcPr>
          <w:p w14:paraId="198E7BA0">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【行政法规】《政府投资条例》（国务院令第712号）第九条 </w:t>
            </w:r>
          </w:p>
        </w:tc>
        <w:tc>
          <w:tcPr>
            <w:tcW w:w="1815" w:type="dxa"/>
            <w:vAlign w:val="center"/>
          </w:tcPr>
          <w:p w14:paraId="623AF12C">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其他</w:t>
            </w:r>
          </w:p>
        </w:tc>
        <w:tc>
          <w:tcPr>
            <w:tcW w:w="2250" w:type="dxa"/>
            <w:vAlign w:val="center"/>
          </w:tcPr>
          <w:p w14:paraId="54FD6962">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w:t>
            </w:r>
          </w:p>
        </w:tc>
      </w:tr>
      <w:tr w14:paraId="72C44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30" w:type="dxa"/>
            <w:vAlign w:val="center"/>
          </w:tcPr>
          <w:p w14:paraId="0E3A5215">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17</w:t>
            </w:r>
            <w:r>
              <w:rPr>
                <w:rFonts w:hint="default" w:ascii="Times New Roman" w:hAnsi="Times New Roman" w:eastAsia="仿宋_GB2312" w:cs="Times New Roman"/>
                <w:color w:val="000000"/>
                <w:spacing w:val="-4"/>
                <w:kern w:val="0"/>
                <w:sz w:val="21"/>
                <w:szCs w:val="21"/>
              </w:rPr>
              <w:t>.城市及城市规划区内新建民用建筑建设防空地下室审批</w:t>
            </w:r>
          </w:p>
          <w:p w14:paraId="2860F715">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（0100434000）</w:t>
            </w:r>
          </w:p>
        </w:tc>
        <w:tc>
          <w:tcPr>
            <w:tcW w:w="1807" w:type="dxa"/>
            <w:vAlign w:val="center"/>
          </w:tcPr>
          <w:p w14:paraId="0DBCACC7">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19</w:t>
            </w:r>
            <w:r>
              <w:rPr>
                <w:rFonts w:hint="default" w:ascii="Times New Roman" w:hAnsi="Times New Roman" w:eastAsia="仿宋_GB2312" w:cs="Times New Roman"/>
                <w:color w:val="000000"/>
                <w:spacing w:val="-4"/>
                <w:kern w:val="0"/>
                <w:sz w:val="21"/>
                <w:szCs w:val="21"/>
              </w:rPr>
              <w:t>.城市及城市规划区内新建民用建筑建设防空地下室审批</w:t>
            </w:r>
          </w:p>
          <w:p w14:paraId="5C91F8DA">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（0100434000）</w:t>
            </w:r>
          </w:p>
        </w:tc>
        <w:tc>
          <w:tcPr>
            <w:tcW w:w="7650" w:type="dxa"/>
            <w:vAlign w:val="center"/>
          </w:tcPr>
          <w:p w14:paraId="770DEB79">
            <w:pPr>
              <w:widowControl/>
              <w:spacing w:line="28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【地方性法规】《江苏省实施&lt;中华人民共和国人民防空法&gt;办法》第十二条第二款、第三款  </w:t>
            </w:r>
          </w:p>
          <w:p w14:paraId="4BE47CF5">
            <w:pPr>
              <w:widowControl/>
              <w:spacing w:line="28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【规范性文件】《国务院中央军委关于进一步推进人民防空事业发展的若干意见》（国发〔2008〕4号）第九条  </w:t>
            </w:r>
          </w:p>
        </w:tc>
        <w:tc>
          <w:tcPr>
            <w:tcW w:w="1815" w:type="dxa"/>
            <w:vAlign w:val="center"/>
          </w:tcPr>
          <w:p w14:paraId="04A64C9C">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2250" w:type="dxa"/>
            <w:vAlign w:val="center"/>
          </w:tcPr>
          <w:p w14:paraId="4A7AAAB5">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将“城市及城市规划区内新建民用建筑确因地质等条件限制不能修建防空地下室审批（0100435000）”事项合并入“城市及城市规划区内新建民用建筑建设防空地下室审批（0100434000）”。</w:t>
            </w:r>
          </w:p>
        </w:tc>
      </w:tr>
      <w:tr w14:paraId="3B5FC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1830" w:type="dxa"/>
            <w:vAlign w:val="center"/>
          </w:tcPr>
          <w:p w14:paraId="1B2E2A1D">
            <w:pPr>
              <w:widowControl/>
              <w:spacing w:line="260" w:lineRule="exact"/>
              <w:ind w:left="-42" w:leftChars="-20" w:right="-42" w:rightChars="-20"/>
              <w:jc w:val="left"/>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18.</w:t>
            </w:r>
            <w:r>
              <w:rPr>
                <w:rFonts w:hint="default" w:ascii="Times New Roman" w:hAnsi="Times New Roman" w:eastAsia="仿宋_GB2312" w:cs="Times New Roman"/>
                <w:color w:val="000000"/>
                <w:spacing w:val="-4"/>
                <w:kern w:val="0"/>
                <w:sz w:val="21"/>
                <w:szCs w:val="21"/>
              </w:rPr>
              <w:t>企业投资项目备案</w:t>
            </w:r>
          </w:p>
          <w:p w14:paraId="243FF745">
            <w:pPr>
              <w:widowControl/>
              <w:spacing w:line="260" w:lineRule="exact"/>
              <w:ind w:left="-42" w:leftChars="-20" w:right="-42" w:rightChars="-20"/>
              <w:jc w:val="left"/>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（1000001000）</w:t>
            </w:r>
          </w:p>
        </w:tc>
        <w:tc>
          <w:tcPr>
            <w:tcW w:w="1807" w:type="dxa"/>
            <w:vAlign w:val="center"/>
          </w:tcPr>
          <w:p w14:paraId="68E562D7">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20</w:t>
            </w:r>
            <w:r>
              <w:rPr>
                <w:rFonts w:hint="default" w:ascii="Times New Roman" w:hAnsi="Times New Roman" w:eastAsia="仿宋_GB2312" w:cs="Times New Roman"/>
                <w:color w:val="000000"/>
                <w:spacing w:val="-4"/>
                <w:kern w:val="0"/>
                <w:sz w:val="21"/>
                <w:szCs w:val="21"/>
              </w:rPr>
              <w:t>.企业投资项目备案</w:t>
            </w:r>
          </w:p>
          <w:p w14:paraId="47FBC8BD">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（1000001000）</w:t>
            </w:r>
          </w:p>
        </w:tc>
        <w:tc>
          <w:tcPr>
            <w:tcW w:w="7650" w:type="dxa"/>
            <w:vAlign w:val="center"/>
          </w:tcPr>
          <w:p w14:paraId="72779B56">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【规范性文件】《中共中央 国务院关于深化投融资体制改革的意见》（中发〔2016〕18号）第二条第（二）款</w:t>
            </w:r>
          </w:p>
          <w:p w14:paraId="289B093D">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【行政法规】《企业投资项目核准和备案管理条例》（国务院令第673号）第三条 </w:t>
            </w:r>
          </w:p>
          <w:p w14:paraId="64C5B9A5">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【规章】《企业投资项目核准和备案管理办法》（国家发展改革委令第2号）第三条、第四条</w:t>
            </w:r>
          </w:p>
          <w:p w14:paraId="252CADFD">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【规范性文件】《江苏省企业投资项目核准和备案管理办法》（苏政发〔2017〕88号）第三条、第四条 </w:t>
            </w:r>
          </w:p>
          <w:p w14:paraId="6C37FCF4">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【规范性文件】《省政府关于发布江苏省政府核准的投资项目目录（2017年本）的通知》（苏政发〔2017〕71号）第一条</w:t>
            </w:r>
          </w:p>
          <w:p w14:paraId="2B631C0E">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【规章】《外商投资项目核准和备案管理办法》（国家发展改革委令第12号）第五条 </w:t>
            </w:r>
          </w:p>
          <w:p w14:paraId="5864FD29">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【规章】《企业境外投资管理办法》（国家发展改革委令第11号）第十四条  </w:t>
            </w:r>
          </w:p>
          <w:p w14:paraId="5259D6D5">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【规范性文件】《江苏省企业境外投资管理办法》（苏发改规发〔2018〕1号）第二条、第十二条</w:t>
            </w:r>
          </w:p>
        </w:tc>
        <w:tc>
          <w:tcPr>
            <w:tcW w:w="1815" w:type="dxa"/>
            <w:vAlign w:val="center"/>
          </w:tcPr>
          <w:p w14:paraId="358554C9">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其他</w:t>
            </w:r>
          </w:p>
        </w:tc>
        <w:tc>
          <w:tcPr>
            <w:tcW w:w="2250" w:type="dxa"/>
            <w:vAlign w:val="center"/>
          </w:tcPr>
          <w:p w14:paraId="3C0C2118">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w:t>
            </w:r>
          </w:p>
        </w:tc>
      </w:tr>
      <w:tr w14:paraId="0966C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30" w:type="dxa"/>
            <w:vMerge w:val="restart"/>
            <w:vAlign w:val="center"/>
          </w:tcPr>
          <w:p w14:paraId="1E96FB5B">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19</w:t>
            </w:r>
            <w:r>
              <w:rPr>
                <w:rFonts w:hint="default" w:ascii="Times New Roman" w:hAnsi="Times New Roman" w:eastAsia="仿宋_GB2312" w:cs="Times New Roman"/>
                <w:color w:val="000000"/>
                <w:spacing w:val="-4"/>
                <w:kern w:val="0"/>
                <w:sz w:val="21"/>
                <w:szCs w:val="21"/>
              </w:rPr>
              <w:t>.建设项目环境影响评价文件审批（0100144000）</w:t>
            </w:r>
          </w:p>
        </w:tc>
        <w:tc>
          <w:tcPr>
            <w:tcW w:w="1807" w:type="dxa"/>
            <w:vAlign w:val="center"/>
          </w:tcPr>
          <w:p w14:paraId="799D4907">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21</w:t>
            </w:r>
            <w:r>
              <w:rPr>
                <w:rFonts w:hint="default" w:ascii="Times New Roman" w:hAnsi="Times New Roman" w:eastAsia="仿宋_GB2312" w:cs="Times New Roman"/>
                <w:color w:val="000000"/>
                <w:spacing w:val="-4"/>
                <w:kern w:val="0"/>
                <w:sz w:val="21"/>
                <w:szCs w:val="21"/>
              </w:rPr>
              <w:t>.建设项目环境影响评价文件审批（不含入海排污口设置审批，不含辐射建设项目）</w:t>
            </w:r>
          </w:p>
          <w:p w14:paraId="07F23645">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（0100144001）</w:t>
            </w:r>
          </w:p>
        </w:tc>
        <w:tc>
          <w:tcPr>
            <w:tcW w:w="7650" w:type="dxa"/>
            <w:vAlign w:val="center"/>
          </w:tcPr>
          <w:p w14:paraId="44DBC45C">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【法律】《中华人民共和国环境影响评价法》第二十二条  </w:t>
            </w:r>
          </w:p>
          <w:p w14:paraId="061AFB0E">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【规范性文件】《省政府办公厅关于印发江苏省建设项目环境影响评价文件分级审批管理办法的通知》（苏政办发〔2016〕109号）第五条 </w:t>
            </w:r>
          </w:p>
          <w:p w14:paraId="7A24D4A0">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【规范性文件】《省政府关于公布企业投资项目省级部门不再审批事项清单（第二批）的决定》（苏政发〔2018〕33号）附表第9项</w:t>
            </w:r>
          </w:p>
        </w:tc>
        <w:tc>
          <w:tcPr>
            <w:tcW w:w="1815" w:type="dxa"/>
            <w:vAlign w:val="center"/>
          </w:tcPr>
          <w:p w14:paraId="3ABD31E8">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2250" w:type="dxa"/>
            <w:vAlign w:val="center"/>
          </w:tcPr>
          <w:p w14:paraId="12CAA60C">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w:t>
            </w:r>
          </w:p>
        </w:tc>
      </w:tr>
      <w:tr w14:paraId="74FDF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jc w:val="center"/>
        </w:trPr>
        <w:tc>
          <w:tcPr>
            <w:tcW w:w="1830" w:type="dxa"/>
            <w:vMerge w:val="continue"/>
            <w:vAlign w:val="center"/>
          </w:tcPr>
          <w:p w14:paraId="00B6B33E">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p>
        </w:tc>
        <w:tc>
          <w:tcPr>
            <w:tcW w:w="1807" w:type="dxa"/>
            <w:vAlign w:val="center"/>
          </w:tcPr>
          <w:p w14:paraId="4D13D8AD">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22</w:t>
            </w:r>
            <w:r>
              <w:rPr>
                <w:rFonts w:hint="default" w:ascii="Times New Roman" w:hAnsi="Times New Roman" w:eastAsia="仿宋_GB2312" w:cs="Times New Roman"/>
                <w:color w:val="000000"/>
                <w:spacing w:val="-4"/>
                <w:kern w:val="0"/>
                <w:sz w:val="21"/>
                <w:szCs w:val="21"/>
              </w:rPr>
              <w:t>.辐射建设项目环境影响评价文件审批</w:t>
            </w:r>
          </w:p>
          <w:p w14:paraId="10935016">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（0100144002）</w:t>
            </w:r>
          </w:p>
        </w:tc>
        <w:tc>
          <w:tcPr>
            <w:tcW w:w="7650" w:type="dxa"/>
            <w:vAlign w:val="center"/>
          </w:tcPr>
          <w:p w14:paraId="19718711">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【法律】《中华人民共和国环境影响评价法》第二十二条、第二十三条第二款、第三款、第二十四条　</w:t>
            </w:r>
          </w:p>
          <w:p w14:paraId="5AC7AB3B">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【法律】《中华人民共和国放射性污染防治法》第二十九条  </w:t>
            </w:r>
          </w:p>
          <w:p w14:paraId="50338446">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【规章】《放射性同位素与射线装置安全和防护管理办法》（环保部令第18号）第十四条  </w:t>
            </w:r>
          </w:p>
          <w:p w14:paraId="5C2155B0">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【地方性法规】《江苏省辐射污染防治条例》第二十九条　</w:t>
            </w:r>
          </w:p>
        </w:tc>
        <w:tc>
          <w:tcPr>
            <w:tcW w:w="1815" w:type="dxa"/>
            <w:vAlign w:val="center"/>
          </w:tcPr>
          <w:p w14:paraId="45580001">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2250" w:type="dxa"/>
            <w:vAlign w:val="center"/>
          </w:tcPr>
          <w:p w14:paraId="10AA6A13">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w:t>
            </w:r>
          </w:p>
        </w:tc>
      </w:tr>
      <w:tr w14:paraId="1AC82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30" w:type="dxa"/>
            <w:vAlign w:val="center"/>
          </w:tcPr>
          <w:p w14:paraId="77FAC3B8">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20</w:t>
            </w:r>
            <w:r>
              <w:rPr>
                <w:rFonts w:hint="default" w:ascii="Times New Roman" w:hAnsi="Times New Roman" w:eastAsia="仿宋_GB2312" w:cs="Times New Roman"/>
                <w:color w:val="000000"/>
                <w:spacing w:val="-4"/>
                <w:kern w:val="0"/>
                <w:sz w:val="21"/>
                <w:szCs w:val="21"/>
              </w:rPr>
              <w:t>.生产建设项目水土保持方案审批（0100254000）</w:t>
            </w:r>
          </w:p>
        </w:tc>
        <w:tc>
          <w:tcPr>
            <w:tcW w:w="1807" w:type="dxa"/>
            <w:vAlign w:val="center"/>
          </w:tcPr>
          <w:p w14:paraId="37FA63E3">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23</w:t>
            </w:r>
            <w:r>
              <w:rPr>
                <w:rFonts w:hint="default" w:ascii="Times New Roman" w:hAnsi="Times New Roman" w:eastAsia="仿宋_GB2312" w:cs="Times New Roman"/>
                <w:color w:val="000000"/>
                <w:spacing w:val="-4"/>
                <w:kern w:val="0"/>
                <w:sz w:val="21"/>
                <w:szCs w:val="21"/>
              </w:rPr>
              <w:t>.生产建设项目水土保持方案审批</w:t>
            </w:r>
          </w:p>
          <w:p w14:paraId="4382716B">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（0100254000）</w:t>
            </w:r>
          </w:p>
        </w:tc>
        <w:tc>
          <w:tcPr>
            <w:tcW w:w="7650" w:type="dxa"/>
            <w:vAlign w:val="center"/>
          </w:tcPr>
          <w:p w14:paraId="6FCE54B1">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【法律】《中华人民共和国水土保持法》第二十五条第一款、第三款、第二十七条　</w:t>
            </w:r>
          </w:p>
          <w:p w14:paraId="734B30DF">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【地方性法规】《江苏省水土保持条例》第十七条、第二十一条</w:t>
            </w:r>
          </w:p>
          <w:p w14:paraId="33A69740">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【规章】《开发建设项目水土保持方案编报审批管理规定》（水利部令第49号第二次修改）第八条　</w:t>
            </w:r>
          </w:p>
        </w:tc>
        <w:tc>
          <w:tcPr>
            <w:tcW w:w="1815" w:type="dxa"/>
            <w:vAlign w:val="center"/>
          </w:tcPr>
          <w:p w14:paraId="245A1E73">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2250" w:type="dxa"/>
            <w:vAlign w:val="center"/>
          </w:tcPr>
          <w:p w14:paraId="2A112346">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w:t>
            </w:r>
          </w:p>
        </w:tc>
      </w:tr>
      <w:tr w14:paraId="6D86A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2" w:hRule="atLeast"/>
          <w:jc w:val="center"/>
        </w:trPr>
        <w:tc>
          <w:tcPr>
            <w:tcW w:w="1830" w:type="dxa"/>
            <w:vAlign w:val="center"/>
          </w:tcPr>
          <w:p w14:paraId="04109678">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21</w:t>
            </w:r>
            <w:r>
              <w:rPr>
                <w:rFonts w:hint="default" w:ascii="Times New Roman" w:hAnsi="Times New Roman" w:eastAsia="仿宋_GB2312" w:cs="Times New Roman"/>
                <w:color w:val="000000"/>
                <w:spacing w:val="-4"/>
                <w:kern w:val="0"/>
                <w:sz w:val="21"/>
                <w:szCs w:val="21"/>
              </w:rPr>
              <w:t>.固定资产投资项目节能审查</w:t>
            </w:r>
          </w:p>
          <w:p w14:paraId="4F6AF95D">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（0100002000）</w:t>
            </w:r>
          </w:p>
        </w:tc>
        <w:tc>
          <w:tcPr>
            <w:tcW w:w="1807" w:type="dxa"/>
            <w:vAlign w:val="center"/>
          </w:tcPr>
          <w:p w14:paraId="51610892">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24</w:t>
            </w:r>
            <w:r>
              <w:rPr>
                <w:rFonts w:hint="default" w:ascii="Times New Roman" w:hAnsi="Times New Roman" w:eastAsia="仿宋_GB2312" w:cs="Times New Roman"/>
                <w:color w:val="000000"/>
                <w:spacing w:val="-4"/>
                <w:kern w:val="0"/>
                <w:sz w:val="21"/>
                <w:szCs w:val="21"/>
              </w:rPr>
              <w:t>.固定资产投资项目节能审查</w:t>
            </w:r>
          </w:p>
          <w:p w14:paraId="58F63359">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（0100002000）</w:t>
            </w:r>
          </w:p>
        </w:tc>
        <w:tc>
          <w:tcPr>
            <w:tcW w:w="7650" w:type="dxa"/>
            <w:vAlign w:val="center"/>
          </w:tcPr>
          <w:p w14:paraId="79D7CEA2">
            <w:pPr>
              <w:widowControl/>
              <w:spacing w:line="24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【法律】《中华人民共和国节约能源法》第十五条 </w:t>
            </w:r>
          </w:p>
          <w:p w14:paraId="400BAE93">
            <w:pPr>
              <w:widowControl/>
              <w:spacing w:line="24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【规章】《固定资产投资项目节能审查办法》（国家发展改革委令第44号）第二条、第三条、第五条、第六条  </w:t>
            </w:r>
          </w:p>
          <w:p w14:paraId="02FCE861">
            <w:pPr>
              <w:widowControl/>
              <w:spacing w:line="24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【规范性文件】《国务院关于加强节能工作的决定》（国发〔2006〕28号）第二十三条  </w:t>
            </w:r>
          </w:p>
          <w:p w14:paraId="7E0FE965">
            <w:pPr>
              <w:widowControl/>
              <w:spacing w:line="24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【规范性文件】《全国人大财政经济委员会办公室关于节能评估审查是否属于行政许可事项的复函》</w:t>
            </w:r>
          </w:p>
          <w:p w14:paraId="0BF96497">
            <w:pPr>
              <w:widowControl/>
              <w:spacing w:line="24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【规范性文件】《省发展改革委 省经济和信息化委 关于印发江苏省固定资产投资项目节能审查实施办法的通知》（苏发改规发〔2017〕1号）第九条、第十条、第十一条、第十二条 </w:t>
            </w:r>
          </w:p>
          <w:p w14:paraId="74897766">
            <w:pPr>
              <w:widowControl/>
              <w:spacing w:line="24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【规范性文件】《省政府关于公布企业投资项目省级部门不再审批事项清单（第二批）的决定》（苏政发〔2018〕33号 ）</w:t>
            </w:r>
          </w:p>
        </w:tc>
        <w:tc>
          <w:tcPr>
            <w:tcW w:w="1815" w:type="dxa"/>
            <w:vAlign w:val="center"/>
          </w:tcPr>
          <w:p w14:paraId="17376C87">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其他</w:t>
            </w:r>
          </w:p>
        </w:tc>
        <w:tc>
          <w:tcPr>
            <w:tcW w:w="2250" w:type="dxa"/>
            <w:vAlign w:val="center"/>
          </w:tcPr>
          <w:p w14:paraId="7B3E0595">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w:t>
            </w:r>
          </w:p>
        </w:tc>
      </w:tr>
      <w:tr w14:paraId="7DDA6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30" w:type="dxa"/>
            <w:vAlign w:val="center"/>
          </w:tcPr>
          <w:p w14:paraId="74AE5C98">
            <w:pPr>
              <w:widowControl/>
              <w:spacing w:line="260" w:lineRule="exact"/>
              <w:ind w:left="-42" w:leftChars="-20" w:right="-42" w:rightChars="-20"/>
              <w:jc w:val="left"/>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22</w:t>
            </w:r>
            <w:r>
              <w:rPr>
                <w:rFonts w:hint="default" w:ascii="Times New Roman" w:hAnsi="Times New Roman" w:eastAsia="仿宋_GB2312" w:cs="Times New Roman"/>
                <w:color w:val="000000"/>
                <w:spacing w:val="-4"/>
                <w:kern w:val="0"/>
                <w:sz w:val="21"/>
                <w:szCs w:val="21"/>
              </w:rPr>
              <w:t>.城镇污水排入排水管网许可证核发</w:t>
            </w:r>
          </w:p>
          <w:p w14:paraId="448A6FE0">
            <w:pPr>
              <w:widowControl/>
              <w:spacing w:line="260" w:lineRule="exact"/>
              <w:ind w:left="-42" w:leftChars="-20" w:right="-42" w:rightChars="-20"/>
              <w:jc w:val="left"/>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（0100162000）</w:t>
            </w:r>
          </w:p>
        </w:tc>
        <w:tc>
          <w:tcPr>
            <w:tcW w:w="1807" w:type="dxa"/>
            <w:vAlign w:val="center"/>
          </w:tcPr>
          <w:p w14:paraId="4541AC3E">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25</w:t>
            </w:r>
            <w:r>
              <w:rPr>
                <w:rFonts w:hint="default" w:ascii="Times New Roman" w:hAnsi="Times New Roman" w:eastAsia="仿宋_GB2312" w:cs="Times New Roman"/>
                <w:color w:val="000000"/>
                <w:spacing w:val="-4"/>
                <w:kern w:val="0"/>
                <w:sz w:val="21"/>
                <w:szCs w:val="21"/>
              </w:rPr>
              <w:t>.城镇污水排入排水管网许可证核发</w:t>
            </w:r>
          </w:p>
          <w:p w14:paraId="29C4985C">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（0100162000）</w:t>
            </w:r>
          </w:p>
        </w:tc>
        <w:tc>
          <w:tcPr>
            <w:tcW w:w="7650" w:type="dxa"/>
            <w:vAlign w:val="center"/>
          </w:tcPr>
          <w:p w14:paraId="4196C05D">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【行政法规】《城镇排水与污水处理条例》（国务院令第641号）第二十一条 </w:t>
            </w:r>
          </w:p>
          <w:p w14:paraId="795F2CB3">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【规章】《城镇污水排入排水管网许可管理办法》（住房城乡建设部令第21号）第四条第一款、第七条、第八条　</w:t>
            </w:r>
          </w:p>
        </w:tc>
        <w:tc>
          <w:tcPr>
            <w:tcW w:w="1815" w:type="dxa"/>
            <w:vAlign w:val="center"/>
          </w:tcPr>
          <w:p w14:paraId="1A650845">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2250" w:type="dxa"/>
            <w:vAlign w:val="center"/>
          </w:tcPr>
          <w:p w14:paraId="209731C5">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w:t>
            </w:r>
          </w:p>
        </w:tc>
      </w:tr>
      <w:tr w14:paraId="12C88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830" w:type="dxa"/>
            <w:vMerge w:val="restart"/>
            <w:vAlign w:val="center"/>
          </w:tcPr>
          <w:p w14:paraId="4F910D8A">
            <w:pPr>
              <w:widowControl/>
              <w:spacing w:line="260" w:lineRule="exact"/>
              <w:ind w:left="-42" w:leftChars="-20" w:right="-42" w:rightChars="-20"/>
              <w:jc w:val="left"/>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23</w:t>
            </w:r>
            <w:r>
              <w:rPr>
                <w:rFonts w:hint="default" w:ascii="Times New Roman" w:hAnsi="Times New Roman" w:eastAsia="仿宋_GB2312" w:cs="Times New Roman"/>
                <w:color w:val="000000"/>
                <w:spacing w:val="-4"/>
                <w:kern w:val="0"/>
                <w:sz w:val="21"/>
                <w:szCs w:val="21"/>
              </w:rPr>
              <w:t>.工程建设项目竣工验收</w:t>
            </w:r>
          </w:p>
        </w:tc>
        <w:tc>
          <w:tcPr>
            <w:tcW w:w="1807" w:type="dxa"/>
            <w:vAlign w:val="center"/>
          </w:tcPr>
          <w:p w14:paraId="3043D05A">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26</w:t>
            </w:r>
            <w:r>
              <w:rPr>
                <w:rFonts w:hint="default" w:ascii="Times New Roman" w:hAnsi="Times New Roman" w:eastAsia="仿宋_GB2312" w:cs="Times New Roman"/>
                <w:color w:val="000000"/>
                <w:spacing w:val="-4"/>
                <w:kern w:val="0"/>
                <w:sz w:val="21"/>
                <w:szCs w:val="21"/>
              </w:rPr>
              <w:t>.建设工程消防验收</w:t>
            </w:r>
          </w:p>
        </w:tc>
        <w:tc>
          <w:tcPr>
            <w:tcW w:w="7650" w:type="dxa"/>
            <w:vAlign w:val="center"/>
          </w:tcPr>
          <w:p w14:paraId="32B3AC26">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【法律】《中华人民共和国消防法》（根据2019年4月23日第十三届全国人民代表大会常务委员会第十次会议《关于修改〈中华人民共和国建筑法〉等八部法律的决定》修正） 第十三条第一款　</w:t>
            </w:r>
          </w:p>
        </w:tc>
        <w:tc>
          <w:tcPr>
            <w:tcW w:w="1815" w:type="dxa"/>
            <w:vAlign w:val="center"/>
          </w:tcPr>
          <w:p w14:paraId="30C54BB6">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2250" w:type="dxa"/>
            <w:vAlign w:val="center"/>
          </w:tcPr>
          <w:p w14:paraId="08FE1663">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列为“工程建设项目竣工验收”事项子项。</w:t>
            </w:r>
          </w:p>
        </w:tc>
      </w:tr>
      <w:tr w14:paraId="674FF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jc w:val="center"/>
        </w:trPr>
        <w:tc>
          <w:tcPr>
            <w:tcW w:w="1830" w:type="dxa"/>
            <w:vMerge w:val="continue"/>
            <w:vAlign w:val="center"/>
          </w:tcPr>
          <w:p w14:paraId="1DAEA774">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p>
        </w:tc>
        <w:tc>
          <w:tcPr>
            <w:tcW w:w="1807" w:type="dxa"/>
            <w:vAlign w:val="center"/>
          </w:tcPr>
          <w:p w14:paraId="39E8ED03">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27</w:t>
            </w:r>
            <w:r>
              <w:rPr>
                <w:rFonts w:hint="default" w:ascii="Times New Roman" w:hAnsi="Times New Roman" w:eastAsia="仿宋_GB2312" w:cs="Times New Roman"/>
                <w:color w:val="000000"/>
                <w:spacing w:val="-4"/>
                <w:kern w:val="0"/>
                <w:sz w:val="21"/>
                <w:szCs w:val="21"/>
              </w:rPr>
              <w:t>.建设工程档案验收</w:t>
            </w:r>
          </w:p>
          <w:p w14:paraId="73BBE902">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（1000211000）</w:t>
            </w:r>
          </w:p>
        </w:tc>
        <w:tc>
          <w:tcPr>
            <w:tcW w:w="7650" w:type="dxa"/>
            <w:vAlign w:val="center"/>
          </w:tcPr>
          <w:p w14:paraId="19546BB4">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【地方性法规】《江苏省档案管理条例》 第十四条第二款 </w:t>
            </w:r>
          </w:p>
          <w:p w14:paraId="0D8A2DDA">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【规章】《江苏省城建档案管理办法》（省政府令第196号） 第十二条 </w:t>
            </w:r>
          </w:p>
          <w:p w14:paraId="365B2B43">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【规章】《城市建设档案管理规定》（建设部令第61号发布，住房和城乡建设部令第47号修改）第八条 </w:t>
            </w:r>
          </w:p>
          <w:p w14:paraId="63BC2582">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【规章】《城市地下管线工程档案管理办法》（建设部令第136号，住房和城乡建设部令第47号修改） 第九条 </w:t>
            </w:r>
          </w:p>
        </w:tc>
        <w:tc>
          <w:tcPr>
            <w:tcW w:w="1815" w:type="dxa"/>
            <w:vAlign w:val="center"/>
          </w:tcPr>
          <w:p w14:paraId="12704696">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其他</w:t>
            </w:r>
          </w:p>
        </w:tc>
        <w:tc>
          <w:tcPr>
            <w:tcW w:w="2250" w:type="dxa"/>
            <w:vAlign w:val="center"/>
          </w:tcPr>
          <w:p w14:paraId="75D4B5DC">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1.“地下管线工程档案验收1000572000”事项并入；</w:t>
            </w:r>
          </w:p>
          <w:p w14:paraId="12D0A0A5">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2.列为“工程建设项目竣工验收”事项子项。</w:t>
            </w:r>
          </w:p>
        </w:tc>
      </w:tr>
      <w:tr w14:paraId="6A34A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0" w:hRule="atLeast"/>
          <w:jc w:val="center"/>
        </w:trPr>
        <w:tc>
          <w:tcPr>
            <w:tcW w:w="1830" w:type="dxa"/>
            <w:vMerge w:val="continue"/>
            <w:vAlign w:val="center"/>
          </w:tcPr>
          <w:p w14:paraId="18F1187F">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p>
        </w:tc>
        <w:tc>
          <w:tcPr>
            <w:tcW w:w="1807" w:type="dxa"/>
            <w:vAlign w:val="center"/>
          </w:tcPr>
          <w:p w14:paraId="117294F2">
            <w:pPr>
              <w:widowControl/>
              <w:spacing w:line="260" w:lineRule="exact"/>
              <w:ind w:left="-42" w:leftChars="-20" w:right="-42" w:rightChars="-20"/>
              <w:jc w:val="left"/>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28</w:t>
            </w:r>
            <w:r>
              <w:rPr>
                <w:rFonts w:hint="default" w:ascii="Times New Roman" w:hAnsi="Times New Roman" w:eastAsia="仿宋_GB2312" w:cs="Times New Roman"/>
                <w:color w:val="000000"/>
                <w:spacing w:val="-4"/>
                <w:kern w:val="0"/>
                <w:sz w:val="21"/>
                <w:szCs w:val="21"/>
              </w:rPr>
              <w:t>.规划核实、土地核验</w:t>
            </w:r>
          </w:p>
          <w:p w14:paraId="63BE68C1">
            <w:pPr>
              <w:widowControl/>
              <w:spacing w:line="260" w:lineRule="exact"/>
              <w:ind w:left="-42" w:leftChars="-20" w:right="-42" w:rightChars="-20"/>
              <w:jc w:val="left"/>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（1000193000）</w:t>
            </w:r>
          </w:p>
        </w:tc>
        <w:tc>
          <w:tcPr>
            <w:tcW w:w="7650" w:type="dxa"/>
            <w:vAlign w:val="center"/>
          </w:tcPr>
          <w:p w14:paraId="608465F5">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【法律】《中华人民共和国城乡规划法》第三十八条、第四十五条 </w:t>
            </w:r>
          </w:p>
          <w:p w14:paraId="1D415FFE">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【地方性法规】《江苏省城乡规划条例》第四十八条</w:t>
            </w:r>
          </w:p>
          <w:p w14:paraId="0CAAC436">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【规范性文件】《国务院关于促进节约集约用地的通知》（国发〔2008〕3号）（二十）</w:t>
            </w:r>
          </w:p>
          <w:p w14:paraId="5C3CF038">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【规范性文件】自然资源部《关于以“多规合一”为基础推进规划用地“多审合一、多证合一”改革的通知》（自然资规〔2019〕2 号）</w:t>
            </w:r>
          </w:p>
        </w:tc>
        <w:tc>
          <w:tcPr>
            <w:tcW w:w="1815" w:type="dxa"/>
            <w:vAlign w:val="center"/>
          </w:tcPr>
          <w:p w14:paraId="479BB68D">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其他</w:t>
            </w:r>
          </w:p>
        </w:tc>
        <w:tc>
          <w:tcPr>
            <w:tcW w:w="2250" w:type="dxa"/>
            <w:vAlign w:val="center"/>
          </w:tcPr>
          <w:p w14:paraId="38B43B0D">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将“规划条件和规划许可内容的核实（1000193000）”与 “建设用地检查核验”合并为“规划核实、土地核验（1000193000）”，列为“工程建设项目竣工验收”事项子项。</w:t>
            </w:r>
          </w:p>
        </w:tc>
      </w:tr>
      <w:tr w14:paraId="0A811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jc w:val="center"/>
        </w:trPr>
        <w:tc>
          <w:tcPr>
            <w:tcW w:w="1830" w:type="dxa"/>
            <w:vMerge w:val="restart"/>
            <w:vAlign w:val="center"/>
          </w:tcPr>
          <w:p w14:paraId="667CD7DC">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24</w:t>
            </w:r>
            <w:r>
              <w:rPr>
                <w:rFonts w:hint="default" w:ascii="Times New Roman" w:hAnsi="Times New Roman" w:eastAsia="仿宋_GB2312" w:cs="Times New Roman"/>
                <w:color w:val="000000"/>
                <w:spacing w:val="-4"/>
                <w:kern w:val="0"/>
                <w:sz w:val="21"/>
                <w:szCs w:val="21"/>
              </w:rPr>
              <w:t>.工程建设项目竣工验收备案</w:t>
            </w:r>
          </w:p>
        </w:tc>
        <w:tc>
          <w:tcPr>
            <w:tcW w:w="1807" w:type="dxa"/>
            <w:vAlign w:val="center"/>
          </w:tcPr>
          <w:p w14:paraId="5DB173BE">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29</w:t>
            </w:r>
            <w:r>
              <w:rPr>
                <w:rFonts w:hint="default" w:ascii="Times New Roman" w:hAnsi="Times New Roman" w:eastAsia="仿宋_GB2312" w:cs="Times New Roman"/>
                <w:color w:val="000000"/>
                <w:spacing w:val="-4"/>
                <w:kern w:val="0"/>
                <w:sz w:val="21"/>
                <w:szCs w:val="21"/>
              </w:rPr>
              <w:t>.建设工程消防验收备案抽查</w:t>
            </w:r>
          </w:p>
        </w:tc>
        <w:tc>
          <w:tcPr>
            <w:tcW w:w="7650" w:type="dxa"/>
            <w:vAlign w:val="center"/>
          </w:tcPr>
          <w:p w14:paraId="7DF2DD7A">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【法律】《中华人民共和国消防法》（根据2019年4月23日第十三届全国人民代表大会常务委员会第十次会议《关于修改〈中华人民共和国建筑法〉等八部法律的决定》修正）第十三条第二款　</w:t>
            </w:r>
          </w:p>
        </w:tc>
        <w:tc>
          <w:tcPr>
            <w:tcW w:w="1815" w:type="dxa"/>
            <w:vAlign w:val="center"/>
          </w:tcPr>
          <w:p w14:paraId="1A2DA63B">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其他</w:t>
            </w:r>
          </w:p>
        </w:tc>
        <w:tc>
          <w:tcPr>
            <w:tcW w:w="2250" w:type="dxa"/>
            <w:vAlign w:val="center"/>
          </w:tcPr>
          <w:p w14:paraId="25E4710E">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列为“工程建设项目竣工验收备案”事项子项。</w:t>
            </w:r>
          </w:p>
        </w:tc>
      </w:tr>
      <w:tr w14:paraId="447B5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5" w:hRule="atLeast"/>
          <w:jc w:val="center"/>
        </w:trPr>
        <w:tc>
          <w:tcPr>
            <w:tcW w:w="1830" w:type="dxa"/>
            <w:vMerge w:val="continue"/>
            <w:vAlign w:val="center"/>
          </w:tcPr>
          <w:p w14:paraId="731A51A0">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p>
        </w:tc>
        <w:tc>
          <w:tcPr>
            <w:tcW w:w="1807" w:type="dxa"/>
            <w:vAlign w:val="center"/>
          </w:tcPr>
          <w:p w14:paraId="21332794">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30</w:t>
            </w:r>
            <w:r>
              <w:rPr>
                <w:rFonts w:hint="default" w:ascii="Times New Roman" w:hAnsi="Times New Roman" w:eastAsia="仿宋_GB2312" w:cs="Times New Roman"/>
                <w:color w:val="000000"/>
                <w:spacing w:val="-4"/>
                <w:kern w:val="0"/>
                <w:sz w:val="21"/>
                <w:szCs w:val="21"/>
              </w:rPr>
              <w:t>.建设工程竣工验收备案</w:t>
            </w:r>
          </w:p>
        </w:tc>
        <w:tc>
          <w:tcPr>
            <w:tcW w:w="7650" w:type="dxa"/>
            <w:vAlign w:val="center"/>
          </w:tcPr>
          <w:p w14:paraId="493B6500">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【行政法规】《建设工程质量管理条例》（国务院令第279号发布，国务院令第714号修改）第四十九条　</w:t>
            </w:r>
          </w:p>
          <w:p w14:paraId="280351FE">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【地方性法规】《江苏省工程建设管理条例》第八条　</w:t>
            </w:r>
          </w:p>
          <w:p w14:paraId="655092CF">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【规章】《房屋建筑和市政基础设施工程竣工验收备案管理办法》（住房和城乡建设部令第2号）第四条</w:t>
            </w:r>
          </w:p>
          <w:p w14:paraId="2C9631AA">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【规范性文件】《省政府关于公布企业投资项目省级部门不再审批事项清单（第二批）的决定》（苏政发（2018）33号）附件第15项</w:t>
            </w:r>
          </w:p>
          <w:p w14:paraId="1BB7D865">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【行政法规】《城镇排水与污水处理条例》（国务院令第641号）第十五条 </w:t>
            </w:r>
          </w:p>
          <w:p w14:paraId="4BA86AAB">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【行政法规】《城镇燃气管理条例》（国务院令第583号） 第十一条第三款 </w:t>
            </w:r>
          </w:p>
          <w:p w14:paraId="70149D63">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【地方性法规】《江苏省燃气管理条例》第十一条 </w:t>
            </w:r>
          </w:p>
          <w:p w14:paraId="6C2B9D27">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【地方性法规】《江苏省城市绿化管理条例》第十五条 </w:t>
            </w:r>
          </w:p>
          <w:p w14:paraId="71A2D3A4">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【地方性法规】《江苏省实施&lt;中华人民共和国人民防空法&gt;办法》第十三条第六款  </w:t>
            </w:r>
          </w:p>
          <w:p w14:paraId="2A91A126">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【规范性文件】《人民防空工程建设管理规定》（〔2003〕国人防办字第18号）第三十八条、第五十七条</w:t>
            </w:r>
          </w:p>
        </w:tc>
        <w:tc>
          <w:tcPr>
            <w:tcW w:w="1815" w:type="dxa"/>
            <w:vAlign w:val="center"/>
          </w:tcPr>
          <w:p w14:paraId="056BFF49">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其他</w:t>
            </w:r>
          </w:p>
        </w:tc>
        <w:tc>
          <w:tcPr>
            <w:tcW w:w="2250" w:type="dxa"/>
            <w:vAlign w:val="center"/>
          </w:tcPr>
          <w:p w14:paraId="132B9910">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将“房屋建筑和市政基础设施工程竣工验收的备案1000206000”、“城镇排水与污水处理设施建设工程竣工验收情况备案1000247000”、“燃气设施建设工程竣工验收情况备案1000243000”、“绿化工程竣工验收备案1000249000”、“人民防空工程竣工验收备案1000478000”合并，名称为“建设工程竣工验收备案”，列为“工程建设项目竣工验收备案”事项子项，各事项不再单独实施备案。</w:t>
            </w:r>
          </w:p>
        </w:tc>
      </w:tr>
      <w:tr w14:paraId="01178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30" w:type="dxa"/>
            <w:vAlign w:val="center"/>
          </w:tcPr>
          <w:p w14:paraId="41B302E7">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25.港口岸线使用审批</w:t>
            </w:r>
          </w:p>
          <w:p w14:paraId="670D10FC">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（0100198000）</w:t>
            </w:r>
          </w:p>
        </w:tc>
        <w:tc>
          <w:tcPr>
            <w:tcW w:w="1807" w:type="dxa"/>
            <w:vAlign w:val="center"/>
          </w:tcPr>
          <w:p w14:paraId="183E122D">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3</w:t>
            </w:r>
            <w:r>
              <w:rPr>
                <w:rFonts w:hint="eastAsia" w:ascii="Times New Roman" w:hAnsi="Times New Roman" w:eastAsia="仿宋_GB2312" w:cs="Times New Roman"/>
                <w:color w:val="000000"/>
                <w:spacing w:val="-4"/>
                <w:kern w:val="0"/>
                <w:sz w:val="21"/>
                <w:szCs w:val="21"/>
                <w:lang w:val="en-US" w:eastAsia="zh-CN"/>
              </w:rPr>
              <w:t>1</w:t>
            </w:r>
            <w:r>
              <w:rPr>
                <w:rFonts w:hint="default" w:ascii="Times New Roman" w:hAnsi="Times New Roman" w:eastAsia="仿宋_GB2312" w:cs="Times New Roman"/>
                <w:color w:val="000000"/>
                <w:spacing w:val="-4"/>
                <w:kern w:val="0"/>
                <w:sz w:val="21"/>
                <w:szCs w:val="21"/>
              </w:rPr>
              <w:t>.港口岸线使用审批</w:t>
            </w:r>
          </w:p>
          <w:p w14:paraId="6DBB8657">
            <w:pPr>
              <w:widowControl/>
              <w:spacing w:line="260" w:lineRule="exact"/>
              <w:ind w:left="-42" w:leftChars="-20" w:right="-42" w:rightChars="-20"/>
              <w:rPr>
                <w:rFonts w:hint="eastAsia" w:ascii="Times New Roman" w:hAnsi="Times New Roman" w:eastAsia="仿宋_GB2312" w:cs="Times New Roman"/>
                <w:color w:val="000000"/>
                <w:spacing w:val="-4"/>
                <w:kern w:val="0"/>
                <w:sz w:val="21"/>
                <w:szCs w:val="21"/>
                <w:lang w:val="en-US" w:eastAsia="zh-CN"/>
              </w:rPr>
            </w:pPr>
            <w:r>
              <w:rPr>
                <w:rFonts w:hint="default" w:ascii="Times New Roman" w:hAnsi="Times New Roman" w:eastAsia="仿宋_GB2312" w:cs="Times New Roman"/>
                <w:color w:val="000000"/>
                <w:spacing w:val="-4"/>
                <w:kern w:val="0"/>
                <w:sz w:val="21"/>
                <w:szCs w:val="21"/>
              </w:rPr>
              <w:t>（0100198000）</w:t>
            </w:r>
          </w:p>
        </w:tc>
        <w:tc>
          <w:tcPr>
            <w:tcW w:w="7650" w:type="dxa"/>
            <w:vAlign w:val="center"/>
          </w:tcPr>
          <w:p w14:paraId="455F3E80">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【法律】《中华人民共和国港口法》第十三条  </w:t>
            </w:r>
          </w:p>
          <w:p w14:paraId="5D9F845B">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【地方性法规】《江苏省水路交通运输条例》 第十七条、第十八条  </w:t>
            </w:r>
          </w:p>
        </w:tc>
        <w:tc>
          <w:tcPr>
            <w:tcW w:w="1815" w:type="dxa"/>
            <w:vAlign w:val="center"/>
          </w:tcPr>
          <w:p w14:paraId="2A914AE9">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2250" w:type="dxa"/>
            <w:vAlign w:val="center"/>
          </w:tcPr>
          <w:p w14:paraId="1E2F45DE">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w:t>
            </w:r>
          </w:p>
        </w:tc>
      </w:tr>
      <w:tr w14:paraId="5A0A8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30" w:type="dxa"/>
            <w:vAlign w:val="center"/>
          </w:tcPr>
          <w:p w14:paraId="4851FE8C">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26</w:t>
            </w:r>
            <w:r>
              <w:rPr>
                <w:rFonts w:hint="default" w:ascii="Times New Roman" w:hAnsi="Times New Roman" w:eastAsia="仿宋_GB2312" w:cs="Times New Roman"/>
                <w:color w:val="000000"/>
                <w:spacing w:val="-4"/>
                <w:kern w:val="0"/>
                <w:sz w:val="21"/>
                <w:szCs w:val="21"/>
              </w:rPr>
              <w:t>.航道通航条件影响评价审核</w:t>
            </w:r>
          </w:p>
          <w:p w14:paraId="0D4E8FC3">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（0100217000）</w:t>
            </w:r>
          </w:p>
        </w:tc>
        <w:tc>
          <w:tcPr>
            <w:tcW w:w="1807" w:type="dxa"/>
            <w:vAlign w:val="center"/>
          </w:tcPr>
          <w:p w14:paraId="4603B181">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32</w:t>
            </w:r>
            <w:r>
              <w:rPr>
                <w:rFonts w:hint="default" w:ascii="Times New Roman" w:hAnsi="Times New Roman" w:eastAsia="仿宋_GB2312" w:cs="Times New Roman"/>
                <w:color w:val="000000"/>
                <w:spacing w:val="-4"/>
                <w:kern w:val="0"/>
                <w:sz w:val="21"/>
                <w:szCs w:val="21"/>
              </w:rPr>
              <w:t>.航道通航条件影响评价审核</w:t>
            </w:r>
          </w:p>
          <w:p w14:paraId="1A25CB76">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（0100217000）</w:t>
            </w:r>
          </w:p>
        </w:tc>
        <w:tc>
          <w:tcPr>
            <w:tcW w:w="7650" w:type="dxa"/>
            <w:vAlign w:val="center"/>
          </w:tcPr>
          <w:p w14:paraId="543E85B3">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【法律】《中华人民共和国航道法》第二十八条  </w:t>
            </w:r>
          </w:p>
          <w:p w14:paraId="07F73B4D">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【地方性法规】《江苏省水路交通运输条例》第二十五条  </w:t>
            </w:r>
          </w:p>
        </w:tc>
        <w:tc>
          <w:tcPr>
            <w:tcW w:w="1815" w:type="dxa"/>
            <w:vAlign w:val="center"/>
          </w:tcPr>
          <w:p w14:paraId="69E122B9">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2250" w:type="dxa"/>
            <w:vAlign w:val="center"/>
          </w:tcPr>
          <w:p w14:paraId="619B7DC3">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w:t>
            </w:r>
          </w:p>
        </w:tc>
      </w:tr>
      <w:tr w14:paraId="15C0C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30" w:type="dxa"/>
            <w:vAlign w:val="center"/>
          </w:tcPr>
          <w:p w14:paraId="6B171280">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27.</w:t>
            </w:r>
            <w:r>
              <w:rPr>
                <w:rFonts w:hint="default" w:ascii="Times New Roman" w:hAnsi="Times New Roman" w:eastAsia="仿宋_GB2312" w:cs="Times New Roman"/>
                <w:color w:val="000000"/>
                <w:spacing w:val="-4"/>
                <w:kern w:val="0"/>
                <w:sz w:val="21"/>
                <w:szCs w:val="21"/>
              </w:rPr>
              <w:t>取水许可审批（0100253000）</w:t>
            </w:r>
          </w:p>
        </w:tc>
        <w:tc>
          <w:tcPr>
            <w:tcW w:w="1807" w:type="dxa"/>
            <w:vAlign w:val="center"/>
          </w:tcPr>
          <w:p w14:paraId="20DA015C">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33</w:t>
            </w:r>
            <w:r>
              <w:rPr>
                <w:rFonts w:hint="default" w:ascii="Times New Roman" w:hAnsi="Times New Roman" w:eastAsia="仿宋_GB2312" w:cs="Times New Roman"/>
                <w:color w:val="000000"/>
                <w:spacing w:val="-4"/>
                <w:kern w:val="0"/>
                <w:sz w:val="21"/>
                <w:szCs w:val="21"/>
              </w:rPr>
              <w:t>.取水许可审批</w:t>
            </w:r>
          </w:p>
          <w:p w14:paraId="4797B638">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（0100253000）</w:t>
            </w:r>
          </w:p>
        </w:tc>
        <w:tc>
          <w:tcPr>
            <w:tcW w:w="7650" w:type="dxa"/>
            <w:vAlign w:val="center"/>
          </w:tcPr>
          <w:p w14:paraId="68019031">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【法律】《中华人民共和国水法》第三十四条第二款、第四十八条</w:t>
            </w:r>
          </w:p>
          <w:p w14:paraId="1DA661D1">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【行政法规】《取水许可和水资源费征收管理条例》（国务院令第676号修正）第十条第一款、第十四条第一款、第十四条第四款  </w:t>
            </w:r>
          </w:p>
        </w:tc>
        <w:tc>
          <w:tcPr>
            <w:tcW w:w="1815" w:type="dxa"/>
            <w:vAlign w:val="center"/>
          </w:tcPr>
          <w:p w14:paraId="05C08FA5">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2250" w:type="dxa"/>
            <w:vAlign w:val="center"/>
          </w:tcPr>
          <w:p w14:paraId="2D319BD9">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w:t>
            </w:r>
          </w:p>
        </w:tc>
      </w:tr>
      <w:tr w14:paraId="56A05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30" w:type="dxa"/>
            <w:vAlign w:val="center"/>
          </w:tcPr>
          <w:p w14:paraId="5B6F44BF">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28</w:t>
            </w:r>
            <w:r>
              <w:rPr>
                <w:rFonts w:hint="default" w:ascii="Times New Roman" w:hAnsi="Times New Roman" w:eastAsia="仿宋_GB2312" w:cs="Times New Roman"/>
                <w:color w:val="000000"/>
                <w:spacing w:val="-4"/>
                <w:kern w:val="0"/>
                <w:sz w:val="21"/>
                <w:szCs w:val="21"/>
              </w:rPr>
              <w:t>.洪水影响评价类审批</w:t>
            </w:r>
          </w:p>
          <w:p w14:paraId="08EFE1FB">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（0100252000）</w:t>
            </w:r>
          </w:p>
        </w:tc>
        <w:tc>
          <w:tcPr>
            <w:tcW w:w="1807" w:type="dxa"/>
            <w:vAlign w:val="center"/>
          </w:tcPr>
          <w:p w14:paraId="59A019CD">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3</w:t>
            </w:r>
            <w:r>
              <w:rPr>
                <w:rFonts w:hint="eastAsia" w:ascii="Times New Roman" w:hAnsi="Times New Roman" w:eastAsia="仿宋_GB2312" w:cs="Times New Roman"/>
                <w:color w:val="000000"/>
                <w:spacing w:val="-4"/>
                <w:kern w:val="0"/>
                <w:sz w:val="21"/>
                <w:szCs w:val="21"/>
                <w:lang w:val="en-US" w:eastAsia="zh-CN"/>
              </w:rPr>
              <w:t>4</w:t>
            </w:r>
            <w:r>
              <w:rPr>
                <w:rFonts w:hint="default" w:ascii="Times New Roman" w:hAnsi="Times New Roman" w:eastAsia="仿宋_GB2312" w:cs="Times New Roman"/>
                <w:color w:val="000000"/>
                <w:spacing w:val="-4"/>
                <w:kern w:val="0"/>
                <w:sz w:val="21"/>
                <w:szCs w:val="21"/>
              </w:rPr>
              <w:t>.洪水影响评价类审批</w:t>
            </w:r>
          </w:p>
          <w:p w14:paraId="41E6C667">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（0100252000）</w:t>
            </w:r>
          </w:p>
        </w:tc>
        <w:tc>
          <w:tcPr>
            <w:tcW w:w="7650" w:type="dxa"/>
            <w:vAlign w:val="center"/>
          </w:tcPr>
          <w:p w14:paraId="44E0725A">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【法律】《中华人民共和国水法》  第十九条、第四十条、第四十五条第四款</w:t>
            </w:r>
          </w:p>
          <w:p w14:paraId="08C84D9A">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【法律】《中华人民共和国防洪法》第十七条、第二十三条、第二十七条、第三十三条第一款、第三十四条第三款  </w:t>
            </w:r>
          </w:p>
          <w:p w14:paraId="2C51DD41">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【行政法规】《中华人民共和国河道管理条例》（国务院令第698号第四次修正）第十一条第一款、第十五条</w:t>
            </w:r>
          </w:p>
          <w:p w14:paraId="76046D8E">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【行政法规】《中华人民共和国水文条例》（国务院令第676号第三次修正）第三十三条</w:t>
            </w:r>
          </w:p>
          <w:p w14:paraId="475A6EF2">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【规章】《水工程建设规划同意书制度管理办法（试行）》（水利部令第49号第二次修正）第五条第三款　</w:t>
            </w:r>
          </w:p>
          <w:p w14:paraId="4D3CF003">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【行政法规】《水库大坝安全管理条例》（国务院令第698号第二次修正）第十六条  </w:t>
            </w:r>
          </w:p>
          <w:p w14:paraId="337A3948">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【地方性法规】《江苏省水库管理条例》第二十六条第三款  </w:t>
            </w:r>
          </w:p>
        </w:tc>
        <w:tc>
          <w:tcPr>
            <w:tcW w:w="1815" w:type="dxa"/>
            <w:vAlign w:val="center"/>
          </w:tcPr>
          <w:p w14:paraId="4C767532">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2250" w:type="dxa"/>
            <w:vAlign w:val="center"/>
          </w:tcPr>
          <w:p w14:paraId="18D5B0B7">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w:t>
            </w:r>
          </w:p>
        </w:tc>
      </w:tr>
      <w:tr w14:paraId="1AA35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352" w:type="dxa"/>
            <w:gridSpan w:val="5"/>
            <w:vAlign w:val="center"/>
          </w:tcPr>
          <w:p w14:paraId="0051697A">
            <w:pPr>
              <w:widowControl/>
              <w:spacing w:line="260" w:lineRule="exact"/>
              <w:ind w:left="-42" w:leftChars="-20" w:right="-42" w:rightChars="-20"/>
              <w:rPr>
                <w:rFonts w:hint="default" w:ascii="Times New Roman" w:hAnsi="Times New Roman" w:eastAsia="仿宋_GB2312" w:cs="Times New Roman"/>
                <w:b/>
                <w:bCs/>
                <w:color w:val="000000"/>
                <w:spacing w:val="-4"/>
                <w:kern w:val="0"/>
                <w:sz w:val="21"/>
                <w:szCs w:val="21"/>
              </w:rPr>
            </w:pPr>
            <w:r>
              <w:rPr>
                <w:rFonts w:hint="default" w:ascii="Times New Roman" w:hAnsi="Times New Roman" w:cs="Times New Roman"/>
                <w:b/>
                <w:bCs/>
                <w:color w:val="000000"/>
                <w:spacing w:val="-4"/>
                <w:kern w:val="0"/>
                <w:sz w:val="24"/>
              </w:rPr>
              <w:t>（二）评估评价与中介事项（事项</w:t>
            </w:r>
            <w:r>
              <w:rPr>
                <w:rFonts w:hint="eastAsia" w:ascii="Times New Roman" w:hAnsi="Times New Roman" w:cs="Times New Roman"/>
                <w:b/>
                <w:bCs/>
                <w:color w:val="000000"/>
                <w:spacing w:val="-4"/>
                <w:kern w:val="0"/>
                <w:sz w:val="24"/>
                <w:lang w:val="en-US" w:eastAsia="zh-CN"/>
              </w:rPr>
              <w:t>1</w:t>
            </w:r>
            <w:r>
              <w:rPr>
                <w:rFonts w:hint="default" w:ascii="Times New Roman" w:hAnsi="Times New Roman" w:cs="Times New Roman"/>
                <w:b/>
                <w:bCs/>
                <w:color w:val="000000"/>
                <w:spacing w:val="-4"/>
                <w:kern w:val="0"/>
                <w:sz w:val="24"/>
              </w:rPr>
              <w:t>项、子项</w:t>
            </w:r>
            <w:r>
              <w:rPr>
                <w:rFonts w:hint="eastAsia" w:ascii="Times New Roman" w:hAnsi="Times New Roman" w:cs="Times New Roman"/>
                <w:b/>
                <w:bCs/>
                <w:color w:val="000000"/>
                <w:spacing w:val="-4"/>
                <w:kern w:val="0"/>
                <w:sz w:val="24"/>
                <w:lang w:val="en-US" w:eastAsia="zh-CN"/>
              </w:rPr>
              <w:t>1</w:t>
            </w:r>
            <w:r>
              <w:rPr>
                <w:rFonts w:hint="default" w:ascii="Times New Roman" w:hAnsi="Times New Roman" w:cs="Times New Roman"/>
                <w:b/>
                <w:bCs/>
                <w:color w:val="000000"/>
                <w:spacing w:val="-4"/>
                <w:kern w:val="0"/>
                <w:sz w:val="24"/>
              </w:rPr>
              <w:t>项）</w:t>
            </w:r>
          </w:p>
        </w:tc>
      </w:tr>
      <w:tr w14:paraId="73009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30" w:type="dxa"/>
            <w:vAlign w:val="center"/>
          </w:tcPr>
          <w:p w14:paraId="2233F23F">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29</w:t>
            </w:r>
            <w:r>
              <w:rPr>
                <w:rFonts w:hint="default" w:ascii="Times New Roman" w:hAnsi="Times New Roman" w:eastAsia="仿宋_GB2312" w:cs="Times New Roman"/>
                <w:color w:val="000000"/>
                <w:spacing w:val="-4"/>
                <w:kern w:val="0"/>
                <w:sz w:val="21"/>
                <w:szCs w:val="21"/>
              </w:rPr>
              <w:t>.施工图设计文件审查</w:t>
            </w:r>
          </w:p>
        </w:tc>
        <w:tc>
          <w:tcPr>
            <w:tcW w:w="1807" w:type="dxa"/>
            <w:vAlign w:val="center"/>
          </w:tcPr>
          <w:p w14:paraId="5E0A738C">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35</w:t>
            </w:r>
            <w:r>
              <w:rPr>
                <w:rFonts w:hint="default" w:ascii="Times New Roman" w:hAnsi="Times New Roman" w:eastAsia="仿宋_GB2312" w:cs="Times New Roman"/>
                <w:color w:val="000000"/>
                <w:spacing w:val="-4"/>
                <w:kern w:val="0"/>
                <w:sz w:val="21"/>
                <w:szCs w:val="21"/>
              </w:rPr>
              <w:t>.施工图设计文件审查</w:t>
            </w:r>
          </w:p>
        </w:tc>
        <w:tc>
          <w:tcPr>
            <w:tcW w:w="7650" w:type="dxa"/>
            <w:vAlign w:val="center"/>
          </w:tcPr>
          <w:p w14:paraId="6E1124EF">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【行政法规】《建设工程质量管理条例》（国务院令第279号发布，国务院令第687号第一次修改，第714号第二次修改）第十一条 </w:t>
            </w:r>
          </w:p>
          <w:p w14:paraId="3847AF47">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【行政法规】《建设工程勘察设计管理条例》（国务院令第293号发布，国务院令第687号修改）第三十三条 </w:t>
            </w:r>
          </w:p>
        </w:tc>
        <w:tc>
          <w:tcPr>
            <w:tcW w:w="1815" w:type="dxa"/>
            <w:vAlign w:val="center"/>
          </w:tcPr>
          <w:p w14:paraId="4C4F7B41">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中介服务</w:t>
            </w:r>
          </w:p>
        </w:tc>
        <w:tc>
          <w:tcPr>
            <w:tcW w:w="2250" w:type="dxa"/>
            <w:vAlign w:val="center"/>
          </w:tcPr>
          <w:p w14:paraId="4DE8A539">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将消防、人防、技防等技术审查并入施工图设计文件审查，相关部门不再进行技术审查。</w:t>
            </w:r>
          </w:p>
        </w:tc>
      </w:tr>
      <w:tr w14:paraId="5485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352" w:type="dxa"/>
            <w:gridSpan w:val="5"/>
            <w:vAlign w:val="center"/>
          </w:tcPr>
          <w:p w14:paraId="29B1C2EB">
            <w:pPr>
              <w:widowControl/>
              <w:spacing w:line="260" w:lineRule="exact"/>
              <w:ind w:left="-42" w:leftChars="-20" w:right="-42" w:rightChars="-20"/>
              <w:rPr>
                <w:rFonts w:hint="default" w:ascii="Times New Roman" w:hAnsi="Times New Roman" w:eastAsia="仿宋_GB2312" w:cs="Times New Roman"/>
                <w:b/>
                <w:bCs/>
                <w:color w:val="000000"/>
                <w:spacing w:val="-4"/>
                <w:kern w:val="0"/>
                <w:sz w:val="21"/>
                <w:szCs w:val="21"/>
              </w:rPr>
            </w:pPr>
            <w:r>
              <w:rPr>
                <w:rFonts w:hint="default" w:ascii="Times New Roman" w:hAnsi="Times New Roman" w:cs="Times New Roman"/>
                <w:b/>
                <w:bCs/>
                <w:color w:val="000000"/>
                <w:spacing w:val="-4"/>
                <w:kern w:val="0"/>
                <w:sz w:val="24"/>
              </w:rPr>
              <w:t>（三）市政公用服务类（事项7项、子项7项）</w:t>
            </w:r>
          </w:p>
        </w:tc>
      </w:tr>
      <w:tr w14:paraId="39282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1830" w:type="dxa"/>
            <w:vAlign w:val="center"/>
          </w:tcPr>
          <w:p w14:paraId="6D9B1D45">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30</w:t>
            </w:r>
            <w:r>
              <w:rPr>
                <w:rFonts w:hint="default" w:ascii="Times New Roman" w:hAnsi="Times New Roman" w:eastAsia="仿宋_GB2312" w:cs="Times New Roman"/>
                <w:color w:val="000000"/>
                <w:spacing w:val="-4"/>
                <w:kern w:val="0"/>
                <w:sz w:val="21"/>
                <w:szCs w:val="21"/>
              </w:rPr>
              <w:t>.供水报装</w:t>
            </w:r>
          </w:p>
        </w:tc>
        <w:tc>
          <w:tcPr>
            <w:tcW w:w="1807" w:type="dxa"/>
            <w:vAlign w:val="center"/>
          </w:tcPr>
          <w:p w14:paraId="0191AF03">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36</w:t>
            </w:r>
            <w:r>
              <w:rPr>
                <w:rFonts w:hint="default" w:ascii="Times New Roman" w:hAnsi="Times New Roman" w:eastAsia="仿宋_GB2312" w:cs="Times New Roman"/>
                <w:color w:val="000000"/>
                <w:spacing w:val="-4"/>
                <w:kern w:val="0"/>
                <w:sz w:val="21"/>
                <w:szCs w:val="21"/>
              </w:rPr>
              <w:t>.供水报装</w:t>
            </w:r>
          </w:p>
        </w:tc>
        <w:tc>
          <w:tcPr>
            <w:tcW w:w="7650" w:type="dxa"/>
            <w:vAlign w:val="center"/>
          </w:tcPr>
          <w:p w14:paraId="4536B155">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《城镇供水服务》（GB∕T32063），《关于印发&lt;加快推进“不见面审批（服务）进一步优化营商环境的实施意见”&gt;的通知》（苏审改办[2018]29号）附件4 《关于进一步优化用水接入的行动方案》</w:t>
            </w:r>
          </w:p>
        </w:tc>
        <w:tc>
          <w:tcPr>
            <w:tcW w:w="1815" w:type="dxa"/>
            <w:vAlign w:val="center"/>
          </w:tcPr>
          <w:p w14:paraId="748B1CFF">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市政公用设施报装</w:t>
            </w:r>
          </w:p>
        </w:tc>
        <w:tc>
          <w:tcPr>
            <w:tcW w:w="2250" w:type="dxa"/>
            <w:vAlign w:val="center"/>
          </w:tcPr>
          <w:p w14:paraId="2B92DC38">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w:t>
            </w:r>
          </w:p>
        </w:tc>
      </w:tr>
      <w:tr w14:paraId="3CF56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30" w:type="dxa"/>
            <w:vAlign w:val="center"/>
          </w:tcPr>
          <w:p w14:paraId="40BB9A05">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31</w:t>
            </w:r>
            <w:r>
              <w:rPr>
                <w:rFonts w:hint="default" w:ascii="Times New Roman" w:hAnsi="Times New Roman" w:eastAsia="仿宋_GB2312" w:cs="Times New Roman"/>
                <w:color w:val="000000"/>
                <w:spacing w:val="-4"/>
                <w:kern w:val="0"/>
                <w:sz w:val="21"/>
                <w:szCs w:val="21"/>
              </w:rPr>
              <w:t>.排水报装</w:t>
            </w:r>
          </w:p>
        </w:tc>
        <w:tc>
          <w:tcPr>
            <w:tcW w:w="1807" w:type="dxa"/>
            <w:vAlign w:val="center"/>
          </w:tcPr>
          <w:p w14:paraId="729D0DFC">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37</w:t>
            </w:r>
            <w:r>
              <w:rPr>
                <w:rFonts w:hint="default" w:ascii="Times New Roman" w:hAnsi="Times New Roman" w:eastAsia="仿宋_GB2312" w:cs="Times New Roman"/>
                <w:color w:val="000000"/>
                <w:spacing w:val="-4"/>
                <w:kern w:val="0"/>
                <w:sz w:val="21"/>
                <w:szCs w:val="21"/>
              </w:rPr>
              <w:t>.排水报装</w:t>
            </w:r>
          </w:p>
        </w:tc>
        <w:tc>
          <w:tcPr>
            <w:tcW w:w="7650" w:type="dxa"/>
            <w:vAlign w:val="center"/>
          </w:tcPr>
          <w:p w14:paraId="5A9CE67F">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《城镇排水与污水处理服务》（GB∕T34173）</w:t>
            </w:r>
          </w:p>
        </w:tc>
        <w:tc>
          <w:tcPr>
            <w:tcW w:w="1815" w:type="dxa"/>
            <w:vAlign w:val="center"/>
          </w:tcPr>
          <w:p w14:paraId="2EC9C994">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市政公用设施报装</w:t>
            </w:r>
          </w:p>
        </w:tc>
        <w:tc>
          <w:tcPr>
            <w:tcW w:w="2250" w:type="dxa"/>
            <w:vAlign w:val="center"/>
          </w:tcPr>
          <w:p w14:paraId="66062318">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w:t>
            </w:r>
          </w:p>
        </w:tc>
      </w:tr>
      <w:tr w14:paraId="26A2D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1830" w:type="dxa"/>
            <w:vAlign w:val="center"/>
          </w:tcPr>
          <w:p w14:paraId="2A0BFA42">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32</w:t>
            </w:r>
            <w:r>
              <w:rPr>
                <w:rFonts w:hint="default" w:ascii="Times New Roman" w:hAnsi="Times New Roman" w:eastAsia="仿宋_GB2312" w:cs="Times New Roman"/>
                <w:color w:val="000000"/>
                <w:spacing w:val="-4"/>
                <w:kern w:val="0"/>
                <w:sz w:val="21"/>
                <w:szCs w:val="21"/>
              </w:rPr>
              <w:t>.供电报装</w:t>
            </w:r>
          </w:p>
        </w:tc>
        <w:tc>
          <w:tcPr>
            <w:tcW w:w="1807" w:type="dxa"/>
            <w:vAlign w:val="center"/>
          </w:tcPr>
          <w:p w14:paraId="59995312">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38</w:t>
            </w:r>
            <w:r>
              <w:rPr>
                <w:rFonts w:hint="default" w:ascii="Times New Roman" w:hAnsi="Times New Roman" w:eastAsia="仿宋_GB2312" w:cs="Times New Roman"/>
                <w:color w:val="000000"/>
                <w:spacing w:val="-4"/>
                <w:kern w:val="0"/>
                <w:sz w:val="21"/>
                <w:szCs w:val="21"/>
              </w:rPr>
              <w:t>.供电报装</w:t>
            </w:r>
          </w:p>
        </w:tc>
        <w:tc>
          <w:tcPr>
            <w:tcW w:w="7650" w:type="dxa"/>
            <w:vAlign w:val="center"/>
          </w:tcPr>
          <w:p w14:paraId="3E284593">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【行政法规】《电力供应与使用条例》（国务院令第196号发布，国务院令第709号修改）第二十三条</w:t>
            </w:r>
          </w:p>
          <w:p w14:paraId="65134E3D">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《关于印发&lt;加快推进“不见面审批（服务）进一步优化营商环境的实施意见”&gt;的通知》（苏审改办[2018]29号）附件5 《关于进一步优化电力接入的行动方案》</w:t>
            </w:r>
          </w:p>
        </w:tc>
        <w:tc>
          <w:tcPr>
            <w:tcW w:w="1815" w:type="dxa"/>
            <w:vAlign w:val="center"/>
          </w:tcPr>
          <w:p w14:paraId="3D424A54">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市政公用设施报装</w:t>
            </w:r>
          </w:p>
        </w:tc>
        <w:tc>
          <w:tcPr>
            <w:tcW w:w="2250" w:type="dxa"/>
            <w:vAlign w:val="center"/>
          </w:tcPr>
          <w:p w14:paraId="349FBDE7">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w:t>
            </w:r>
          </w:p>
        </w:tc>
      </w:tr>
      <w:tr w14:paraId="54391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1830" w:type="dxa"/>
            <w:vAlign w:val="center"/>
          </w:tcPr>
          <w:p w14:paraId="28B32EF2">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33</w:t>
            </w:r>
            <w:r>
              <w:rPr>
                <w:rFonts w:hint="default" w:ascii="Times New Roman" w:hAnsi="Times New Roman" w:eastAsia="仿宋_GB2312" w:cs="Times New Roman"/>
                <w:color w:val="000000"/>
                <w:spacing w:val="-4"/>
                <w:kern w:val="0"/>
                <w:sz w:val="21"/>
                <w:szCs w:val="21"/>
              </w:rPr>
              <w:t>.燃气报装</w:t>
            </w:r>
          </w:p>
        </w:tc>
        <w:tc>
          <w:tcPr>
            <w:tcW w:w="1807" w:type="dxa"/>
            <w:vAlign w:val="center"/>
          </w:tcPr>
          <w:p w14:paraId="1B01369E">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39</w:t>
            </w:r>
            <w:r>
              <w:rPr>
                <w:rFonts w:hint="default" w:ascii="Times New Roman" w:hAnsi="Times New Roman" w:eastAsia="仿宋_GB2312" w:cs="Times New Roman"/>
                <w:color w:val="000000"/>
                <w:spacing w:val="-4"/>
                <w:kern w:val="0"/>
                <w:sz w:val="21"/>
                <w:szCs w:val="21"/>
              </w:rPr>
              <w:t>.燃气报装</w:t>
            </w:r>
          </w:p>
        </w:tc>
        <w:tc>
          <w:tcPr>
            <w:tcW w:w="7650" w:type="dxa"/>
            <w:vAlign w:val="center"/>
          </w:tcPr>
          <w:p w14:paraId="2D050EDC">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《燃气服务导则》（GB∕T28885），《关于印发&lt;加快推进“不见面审批（服务）进一步优化营商环境的实施意见”&gt;的通知》（苏审改办[2018]29号）附件6 《关于进一步优化燃气接入的行动方案》</w:t>
            </w:r>
          </w:p>
        </w:tc>
        <w:tc>
          <w:tcPr>
            <w:tcW w:w="1815" w:type="dxa"/>
            <w:vAlign w:val="center"/>
          </w:tcPr>
          <w:p w14:paraId="32167D53">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市政公用设施报装</w:t>
            </w:r>
          </w:p>
        </w:tc>
        <w:tc>
          <w:tcPr>
            <w:tcW w:w="2250" w:type="dxa"/>
            <w:vAlign w:val="center"/>
          </w:tcPr>
          <w:p w14:paraId="683B386C">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w:t>
            </w:r>
          </w:p>
        </w:tc>
      </w:tr>
      <w:tr w14:paraId="5A15F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830" w:type="dxa"/>
            <w:vAlign w:val="center"/>
          </w:tcPr>
          <w:p w14:paraId="67B5D8EF">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34</w:t>
            </w:r>
            <w:r>
              <w:rPr>
                <w:rFonts w:hint="default" w:ascii="Times New Roman" w:hAnsi="Times New Roman" w:eastAsia="仿宋_GB2312" w:cs="Times New Roman"/>
                <w:color w:val="000000"/>
                <w:spacing w:val="-4"/>
                <w:kern w:val="0"/>
                <w:sz w:val="21"/>
                <w:szCs w:val="21"/>
              </w:rPr>
              <w:t>.热力报装</w:t>
            </w:r>
          </w:p>
        </w:tc>
        <w:tc>
          <w:tcPr>
            <w:tcW w:w="1807" w:type="dxa"/>
            <w:vAlign w:val="center"/>
          </w:tcPr>
          <w:p w14:paraId="2A963628">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40</w:t>
            </w:r>
            <w:r>
              <w:rPr>
                <w:rFonts w:hint="default" w:ascii="Times New Roman" w:hAnsi="Times New Roman" w:eastAsia="仿宋_GB2312" w:cs="Times New Roman"/>
                <w:color w:val="000000"/>
                <w:spacing w:val="-4"/>
                <w:kern w:val="0"/>
                <w:sz w:val="21"/>
                <w:szCs w:val="21"/>
              </w:rPr>
              <w:t>.热力报装</w:t>
            </w:r>
          </w:p>
        </w:tc>
        <w:tc>
          <w:tcPr>
            <w:tcW w:w="7650" w:type="dxa"/>
            <w:vAlign w:val="center"/>
          </w:tcPr>
          <w:p w14:paraId="7313B443">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《城镇供热服务》（GB∕T33833）</w:t>
            </w:r>
          </w:p>
        </w:tc>
        <w:tc>
          <w:tcPr>
            <w:tcW w:w="1815" w:type="dxa"/>
            <w:vAlign w:val="center"/>
          </w:tcPr>
          <w:p w14:paraId="3892A9B4">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市政公用设施报装</w:t>
            </w:r>
          </w:p>
        </w:tc>
        <w:tc>
          <w:tcPr>
            <w:tcW w:w="2250" w:type="dxa"/>
            <w:vAlign w:val="center"/>
          </w:tcPr>
          <w:p w14:paraId="5BF997C1">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w:t>
            </w:r>
          </w:p>
        </w:tc>
      </w:tr>
      <w:tr w14:paraId="019D2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1830" w:type="dxa"/>
            <w:vAlign w:val="center"/>
          </w:tcPr>
          <w:p w14:paraId="0BB48401">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35</w:t>
            </w:r>
            <w:r>
              <w:rPr>
                <w:rFonts w:hint="default" w:ascii="Times New Roman" w:hAnsi="Times New Roman" w:eastAsia="仿宋_GB2312" w:cs="Times New Roman"/>
                <w:color w:val="000000"/>
                <w:spacing w:val="-4"/>
                <w:kern w:val="0"/>
                <w:sz w:val="21"/>
                <w:szCs w:val="21"/>
              </w:rPr>
              <w:t>.广播电视报装</w:t>
            </w:r>
          </w:p>
        </w:tc>
        <w:tc>
          <w:tcPr>
            <w:tcW w:w="1807" w:type="dxa"/>
            <w:vAlign w:val="center"/>
          </w:tcPr>
          <w:p w14:paraId="4A0CE614">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41</w:t>
            </w:r>
            <w:r>
              <w:rPr>
                <w:rFonts w:hint="default" w:ascii="Times New Roman" w:hAnsi="Times New Roman" w:eastAsia="仿宋_GB2312" w:cs="Times New Roman"/>
                <w:color w:val="000000"/>
                <w:spacing w:val="-4"/>
                <w:kern w:val="0"/>
                <w:sz w:val="21"/>
                <w:szCs w:val="21"/>
              </w:rPr>
              <w:t>.广播电视报装</w:t>
            </w:r>
          </w:p>
        </w:tc>
        <w:tc>
          <w:tcPr>
            <w:tcW w:w="7650" w:type="dxa"/>
            <w:vAlign w:val="center"/>
          </w:tcPr>
          <w:p w14:paraId="3264D50F">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《有线电视网路工程施工与验收标准》（GB∕T51265-2018）</w:t>
            </w:r>
          </w:p>
          <w:p w14:paraId="1B73334F">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【地方性法规】《江苏省广播电视管理条例》（江苏省人大常委会公告第 69号）第十七条 </w:t>
            </w:r>
          </w:p>
        </w:tc>
        <w:tc>
          <w:tcPr>
            <w:tcW w:w="1815" w:type="dxa"/>
            <w:vAlign w:val="center"/>
          </w:tcPr>
          <w:p w14:paraId="7F08DA78">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市政公用设施报装</w:t>
            </w:r>
          </w:p>
        </w:tc>
        <w:tc>
          <w:tcPr>
            <w:tcW w:w="2250" w:type="dxa"/>
            <w:vAlign w:val="center"/>
          </w:tcPr>
          <w:p w14:paraId="15DF9441">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w:t>
            </w:r>
          </w:p>
        </w:tc>
      </w:tr>
      <w:tr w14:paraId="336AB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1830" w:type="dxa"/>
            <w:vAlign w:val="center"/>
          </w:tcPr>
          <w:p w14:paraId="7B5B9051">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36</w:t>
            </w:r>
            <w:r>
              <w:rPr>
                <w:rFonts w:hint="default" w:ascii="Times New Roman" w:hAnsi="Times New Roman" w:eastAsia="仿宋_GB2312" w:cs="Times New Roman"/>
                <w:color w:val="000000"/>
                <w:spacing w:val="-4"/>
                <w:kern w:val="0"/>
                <w:sz w:val="21"/>
                <w:szCs w:val="21"/>
              </w:rPr>
              <w:t>.通信报装</w:t>
            </w:r>
          </w:p>
        </w:tc>
        <w:tc>
          <w:tcPr>
            <w:tcW w:w="1807" w:type="dxa"/>
            <w:vAlign w:val="center"/>
          </w:tcPr>
          <w:p w14:paraId="45473511">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42</w:t>
            </w:r>
            <w:r>
              <w:rPr>
                <w:rFonts w:hint="default" w:ascii="Times New Roman" w:hAnsi="Times New Roman" w:eastAsia="仿宋_GB2312" w:cs="Times New Roman"/>
                <w:color w:val="000000"/>
                <w:spacing w:val="-4"/>
                <w:kern w:val="0"/>
                <w:sz w:val="21"/>
                <w:szCs w:val="21"/>
              </w:rPr>
              <w:t>.通信报装</w:t>
            </w:r>
          </w:p>
        </w:tc>
        <w:tc>
          <w:tcPr>
            <w:tcW w:w="7650" w:type="dxa"/>
            <w:vAlign w:val="center"/>
          </w:tcPr>
          <w:p w14:paraId="2DAA3D45">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【行政法规】《中华人民共和国电信条例》（国务院令第291号公布，国务院令第666号修改）第三十一条</w:t>
            </w:r>
          </w:p>
        </w:tc>
        <w:tc>
          <w:tcPr>
            <w:tcW w:w="1815" w:type="dxa"/>
            <w:vAlign w:val="center"/>
          </w:tcPr>
          <w:p w14:paraId="1543EA42">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市政公用设施报装</w:t>
            </w:r>
          </w:p>
        </w:tc>
        <w:tc>
          <w:tcPr>
            <w:tcW w:w="2250" w:type="dxa"/>
            <w:vAlign w:val="center"/>
          </w:tcPr>
          <w:p w14:paraId="2B98F729">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w:t>
            </w:r>
          </w:p>
        </w:tc>
      </w:tr>
    </w:tbl>
    <w:p w14:paraId="609842FF">
      <w:pPr>
        <w:rPr>
          <w:rFonts w:hint="eastAsia" w:ascii="仿宋_GB2312" w:hAnsi="仿宋_GB2312" w:eastAsia="仿宋_GB2312" w:cs="仿宋_GB2312"/>
          <w:color w:val="000000"/>
          <w:sz w:val="21"/>
          <w:szCs w:val="21"/>
        </w:rPr>
      </w:pPr>
    </w:p>
    <w:p w14:paraId="00C670B6">
      <w:pPr>
        <w:rPr>
          <w:rFonts w:hint="eastAsia"/>
          <w:lang w:val="zh-CN" w:eastAsia="zh-CN"/>
        </w:rPr>
      </w:pPr>
      <w:r>
        <w:rPr>
          <w:color w:val="000000"/>
        </w:rPr>
        <w:br w:type="column"/>
      </w:r>
      <w:r>
        <w:rPr>
          <w:rFonts w:hint="eastAsia" w:ascii="Times New Roman" w:hAnsi="Times New Roman" w:eastAsia="黑体" w:cs="Times New Roman"/>
          <w:color w:val="000000"/>
          <w:spacing w:val="-4"/>
          <w:kern w:val="0"/>
          <w:sz w:val="32"/>
          <w:szCs w:val="32"/>
          <w:lang w:val="zh-CN" w:eastAsia="zh-CN"/>
        </w:rPr>
        <w:t>二、挂起事项</w:t>
      </w:r>
      <w:r>
        <w:rPr>
          <w:rFonts w:hint="default" w:ascii="Times New Roman" w:hAnsi="Times New Roman" w:eastAsia="黑体" w:cs="Times New Roman"/>
          <w:color w:val="000000"/>
          <w:spacing w:val="-4"/>
          <w:kern w:val="0"/>
          <w:sz w:val="32"/>
          <w:szCs w:val="32"/>
        </w:rPr>
        <w:t>（事项</w:t>
      </w:r>
      <w:r>
        <w:rPr>
          <w:rFonts w:hint="eastAsia" w:ascii="Times New Roman" w:hAnsi="Times New Roman" w:eastAsia="黑体" w:cs="Times New Roman"/>
          <w:color w:val="000000"/>
          <w:spacing w:val="-4"/>
          <w:kern w:val="0"/>
          <w:sz w:val="32"/>
          <w:szCs w:val="32"/>
          <w:lang w:val="en-US" w:eastAsia="zh-CN"/>
        </w:rPr>
        <w:t>15</w:t>
      </w:r>
      <w:r>
        <w:rPr>
          <w:rFonts w:hint="default" w:ascii="Times New Roman" w:hAnsi="Times New Roman" w:eastAsia="黑体" w:cs="Times New Roman"/>
          <w:color w:val="000000"/>
          <w:spacing w:val="-4"/>
          <w:kern w:val="0"/>
          <w:sz w:val="32"/>
          <w:szCs w:val="32"/>
        </w:rPr>
        <w:t>项、子项</w:t>
      </w:r>
      <w:r>
        <w:rPr>
          <w:rFonts w:hint="eastAsia" w:ascii="Times New Roman" w:hAnsi="Times New Roman" w:eastAsia="黑体" w:cs="Times New Roman"/>
          <w:color w:val="000000"/>
          <w:spacing w:val="-4"/>
          <w:kern w:val="0"/>
          <w:sz w:val="32"/>
          <w:szCs w:val="32"/>
          <w:lang w:val="en-US" w:eastAsia="zh-CN"/>
        </w:rPr>
        <w:t>19</w:t>
      </w:r>
      <w:r>
        <w:rPr>
          <w:rFonts w:hint="default" w:ascii="Times New Roman" w:hAnsi="Times New Roman" w:eastAsia="黑体" w:cs="Times New Roman"/>
          <w:color w:val="000000"/>
          <w:spacing w:val="-4"/>
          <w:kern w:val="0"/>
          <w:sz w:val="32"/>
          <w:szCs w:val="32"/>
        </w:rPr>
        <w:t>项）</w:t>
      </w:r>
    </w:p>
    <w:tbl>
      <w:tblPr>
        <w:tblStyle w:val="5"/>
        <w:tblW w:w="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0"/>
        <w:gridCol w:w="2235"/>
        <w:gridCol w:w="6090"/>
        <w:gridCol w:w="1605"/>
        <w:gridCol w:w="2205"/>
        <w:gridCol w:w="1275"/>
      </w:tblGrid>
      <w:tr w14:paraId="644C7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blHeader/>
          <w:jc w:val="center"/>
        </w:trPr>
        <w:tc>
          <w:tcPr>
            <w:tcW w:w="4285" w:type="dxa"/>
            <w:gridSpan w:val="2"/>
            <w:vAlign w:val="center"/>
          </w:tcPr>
          <w:p w14:paraId="271766C0">
            <w:pPr>
              <w:widowControl/>
              <w:spacing w:line="260" w:lineRule="exact"/>
              <w:ind w:left="-42" w:leftChars="-20" w:right="-42" w:rightChars="-20"/>
              <w:jc w:val="center"/>
              <w:rPr>
                <w:rFonts w:hint="eastAsia"/>
                <w:vertAlign w:val="baseline"/>
                <w:lang w:val="zh-CN" w:eastAsia="zh-CN"/>
              </w:rPr>
            </w:pPr>
            <w:r>
              <w:rPr>
                <w:rFonts w:hint="default" w:ascii="Times New Roman" w:hAnsi="Times New Roman" w:eastAsia="黑体" w:cs="Times New Roman"/>
                <w:bCs/>
                <w:color w:val="000000"/>
                <w:spacing w:val="-4"/>
                <w:kern w:val="0"/>
                <w:sz w:val="24"/>
              </w:rPr>
              <w:t>事  项  名  称</w:t>
            </w:r>
          </w:p>
        </w:tc>
        <w:tc>
          <w:tcPr>
            <w:tcW w:w="6090" w:type="dxa"/>
            <w:vMerge w:val="restart"/>
            <w:vAlign w:val="center"/>
          </w:tcPr>
          <w:p w14:paraId="0354197B">
            <w:pPr>
              <w:widowControl/>
              <w:spacing w:line="260" w:lineRule="exact"/>
              <w:ind w:left="-42" w:leftChars="-20" w:right="-42" w:rightChars="-20"/>
              <w:jc w:val="center"/>
              <w:rPr>
                <w:rFonts w:hint="eastAsia"/>
                <w:vertAlign w:val="baseline"/>
                <w:lang w:val="zh-CN" w:eastAsia="zh-CN"/>
              </w:rPr>
            </w:pPr>
            <w:r>
              <w:rPr>
                <w:rFonts w:hint="default" w:ascii="Times New Roman" w:hAnsi="Times New Roman" w:eastAsia="黑体" w:cs="Times New Roman"/>
                <w:bCs/>
                <w:color w:val="000000"/>
                <w:spacing w:val="-4"/>
                <w:kern w:val="0"/>
                <w:sz w:val="24"/>
              </w:rPr>
              <w:t>设      定      依      据</w:t>
            </w:r>
          </w:p>
        </w:tc>
        <w:tc>
          <w:tcPr>
            <w:tcW w:w="1605" w:type="dxa"/>
            <w:vMerge w:val="restart"/>
            <w:vAlign w:val="center"/>
          </w:tcPr>
          <w:p w14:paraId="6F443D72">
            <w:pPr>
              <w:widowControl/>
              <w:spacing w:line="260" w:lineRule="exact"/>
              <w:ind w:left="-42" w:leftChars="-20" w:right="-42" w:rightChars="-20"/>
              <w:jc w:val="center"/>
              <w:rPr>
                <w:rFonts w:hint="eastAsia"/>
                <w:vertAlign w:val="baseline"/>
                <w:lang w:val="zh-CN" w:eastAsia="zh-CN"/>
              </w:rPr>
            </w:pPr>
            <w:r>
              <w:rPr>
                <w:rFonts w:hint="default" w:ascii="Times New Roman" w:hAnsi="Times New Roman" w:eastAsia="黑体" w:cs="Times New Roman"/>
                <w:bCs/>
                <w:color w:val="000000"/>
                <w:spacing w:val="-4"/>
                <w:kern w:val="0"/>
                <w:sz w:val="24"/>
              </w:rPr>
              <w:t>事项类型</w:t>
            </w:r>
          </w:p>
        </w:tc>
        <w:tc>
          <w:tcPr>
            <w:tcW w:w="2205" w:type="dxa"/>
            <w:vMerge w:val="restart"/>
            <w:vAlign w:val="center"/>
          </w:tcPr>
          <w:p w14:paraId="2C3CA347">
            <w:pPr>
              <w:widowControl/>
              <w:spacing w:line="260" w:lineRule="exact"/>
              <w:ind w:left="-42" w:leftChars="-20" w:right="-42" w:rightChars="-20"/>
              <w:jc w:val="center"/>
              <w:rPr>
                <w:rFonts w:hint="eastAsia"/>
                <w:vertAlign w:val="baseline"/>
                <w:lang w:val="zh-CN" w:eastAsia="zh-CN"/>
              </w:rPr>
            </w:pPr>
            <w:r>
              <w:rPr>
                <w:rFonts w:hint="default" w:ascii="Times New Roman" w:hAnsi="Times New Roman" w:eastAsia="黑体" w:cs="Times New Roman"/>
                <w:bCs/>
                <w:color w:val="000000"/>
                <w:spacing w:val="-4"/>
                <w:kern w:val="0"/>
                <w:sz w:val="24"/>
              </w:rPr>
              <w:t>改革举措</w:t>
            </w:r>
          </w:p>
        </w:tc>
        <w:tc>
          <w:tcPr>
            <w:tcW w:w="1275" w:type="dxa"/>
            <w:vMerge w:val="restart"/>
            <w:vAlign w:val="center"/>
          </w:tcPr>
          <w:p w14:paraId="7C7804B4">
            <w:pPr>
              <w:widowControl/>
              <w:spacing w:line="260" w:lineRule="exact"/>
              <w:ind w:left="-42" w:leftChars="-20" w:right="-42" w:rightChars="-20"/>
              <w:jc w:val="center"/>
              <w:rPr>
                <w:rFonts w:hint="eastAsia" w:ascii="Times New Roman" w:hAnsi="Times New Roman" w:eastAsia="黑体" w:cs="Times New Roman"/>
                <w:bCs/>
                <w:color w:val="000000"/>
                <w:spacing w:val="-4"/>
                <w:kern w:val="0"/>
                <w:sz w:val="24"/>
                <w:szCs w:val="24"/>
                <w:lang w:eastAsia="zh-CN"/>
              </w:rPr>
            </w:pPr>
            <w:r>
              <w:rPr>
                <w:rFonts w:hint="eastAsia" w:ascii="Times New Roman" w:hAnsi="Times New Roman" w:eastAsia="黑体" w:cs="Times New Roman"/>
                <w:bCs/>
                <w:color w:val="000000"/>
                <w:spacing w:val="-4"/>
                <w:kern w:val="0"/>
                <w:sz w:val="24"/>
                <w:lang w:eastAsia="zh-CN"/>
              </w:rPr>
              <w:t>措施</w:t>
            </w:r>
          </w:p>
        </w:tc>
      </w:tr>
      <w:tr w14:paraId="09194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050" w:type="dxa"/>
            <w:vAlign w:val="center"/>
          </w:tcPr>
          <w:p w14:paraId="2614307D">
            <w:pPr>
              <w:widowControl/>
              <w:spacing w:line="260" w:lineRule="exact"/>
              <w:ind w:left="-42" w:leftChars="-20" w:right="-42" w:rightChars="-20"/>
              <w:jc w:val="center"/>
              <w:rPr>
                <w:rFonts w:hint="default" w:ascii="Times New Roman" w:hAnsi="Times New Roman" w:eastAsia="黑体" w:cs="Times New Roman"/>
                <w:bCs/>
                <w:color w:val="000000"/>
                <w:spacing w:val="-4"/>
                <w:kern w:val="0"/>
                <w:sz w:val="24"/>
              </w:rPr>
            </w:pPr>
            <w:r>
              <w:rPr>
                <w:rFonts w:hint="default" w:ascii="Times New Roman" w:hAnsi="Times New Roman" w:eastAsia="黑体" w:cs="Times New Roman"/>
                <w:bCs/>
                <w:color w:val="000000"/>
                <w:spacing w:val="-4"/>
                <w:kern w:val="0"/>
                <w:sz w:val="24"/>
              </w:rPr>
              <w:t>事项名称</w:t>
            </w:r>
          </w:p>
          <w:p w14:paraId="5F34FFD7">
            <w:pPr>
              <w:widowControl/>
              <w:spacing w:line="260" w:lineRule="exact"/>
              <w:ind w:left="-42" w:leftChars="-20" w:right="-42" w:rightChars="-20"/>
              <w:jc w:val="center"/>
              <w:rPr>
                <w:rFonts w:hint="eastAsia"/>
                <w:vertAlign w:val="baseline"/>
                <w:lang w:val="zh-CN" w:eastAsia="zh-CN"/>
              </w:rPr>
            </w:pPr>
            <w:r>
              <w:rPr>
                <w:rFonts w:hint="default" w:ascii="Times New Roman" w:hAnsi="Times New Roman" w:eastAsia="黑体" w:cs="Times New Roman"/>
                <w:bCs/>
                <w:color w:val="000000"/>
                <w:spacing w:val="-4"/>
                <w:kern w:val="0"/>
                <w:sz w:val="24"/>
              </w:rPr>
              <w:t>（编码）</w:t>
            </w:r>
          </w:p>
        </w:tc>
        <w:tc>
          <w:tcPr>
            <w:tcW w:w="2235" w:type="dxa"/>
            <w:vAlign w:val="center"/>
          </w:tcPr>
          <w:p w14:paraId="6BCFF437">
            <w:pPr>
              <w:widowControl/>
              <w:spacing w:line="260" w:lineRule="exact"/>
              <w:ind w:left="-42" w:leftChars="-20" w:right="-42" w:rightChars="-20"/>
              <w:jc w:val="center"/>
              <w:rPr>
                <w:rFonts w:hint="default" w:ascii="Times New Roman" w:hAnsi="Times New Roman" w:eastAsia="黑体" w:cs="Times New Roman"/>
                <w:bCs/>
                <w:color w:val="000000"/>
                <w:spacing w:val="-4"/>
                <w:kern w:val="0"/>
                <w:sz w:val="24"/>
              </w:rPr>
            </w:pPr>
            <w:r>
              <w:rPr>
                <w:rFonts w:hint="default" w:ascii="Times New Roman" w:hAnsi="Times New Roman" w:eastAsia="黑体" w:cs="Times New Roman"/>
                <w:bCs/>
                <w:color w:val="000000"/>
                <w:spacing w:val="-4"/>
                <w:kern w:val="0"/>
                <w:sz w:val="24"/>
              </w:rPr>
              <w:t>子项名称</w:t>
            </w:r>
          </w:p>
          <w:p w14:paraId="348491F9">
            <w:pPr>
              <w:widowControl/>
              <w:spacing w:line="260" w:lineRule="exact"/>
              <w:ind w:left="-42" w:leftChars="-20" w:right="-42" w:rightChars="-20"/>
              <w:jc w:val="center"/>
              <w:rPr>
                <w:rFonts w:hint="eastAsia"/>
                <w:vertAlign w:val="baseline"/>
                <w:lang w:val="zh-CN" w:eastAsia="zh-CN"/>
              </w:rPr>
            </w:pPr>
            <w:r>
              <w:rPr>
                <w:rFonts w:hint="default" w:ascii="Times New Roman" w:hAnsi="Times New Roman" w:eastAsia="黑体" w:cs="Times New Roman"/>
                <w:bCs/>
                <w:color w:val="000000"/>
                <w:spacing w:val="-4"/>
                <w:kern w:val="0"/>
                <w:sz w:val="24"/>
              </w:rPr>
              <w:t>（编码）</w:t>
            </w:r>
          </w:p>
        </w:tc>
        <w:tc>
          <w:tcPr>
            <w:tcW w:w="6090" w:type="dxa"/>
            <w:vMerge w:val="continue"/>
            <w:vAlign w:val="center"/>
          </w:tcPr>
          <w:p w14:paraId="6D403CCE">
            <w:pPr>
              <w:widowControl/>
              <w:spacing w:line="260" w:lineRule="exact"/>
              <w:ind w:left="-42" w:leftChars="-20" w:right="-42" w:rightChars="-20"/>
              <w:jc w:val="center"/>
              <w:rPr>
                <w:rFonts w:hint="eastAsia"/>
                <w:vertAlign w:val="baseline"/>
                <w:lang w:val="zh-CN" w:eastAsia="zh-CN"/>
              </w:rPr>
            </w:pPr>
          </w:p>
        </w:tc>
        <w:tc>
          <w:tcPr>
            <w:tcW w:w="1605" w:type="dxa"/>
            <w:vMerge w:val="continue"/>
            <w:vAlign w:val="center"/>
          </w:tcPr>
          <w:p w14:paraId="3682922F">
            <w:pPr>
              <w:widowControl/>
              <w:spacing w:line="260" w:lineRule="exact"/>
              <w:ind w:left="-42" w:leftChars="-20" w:right="-42" w:rightChars="-20"/>
              <w:jc w:val="center"/>
              <w:rPr>
                <w:rFonts w:hint="eastAsia"/>
                <w:vertAlign w:val="baseline"/>
                <w:lang w:val="zh-CN" w:eastAsia="zh-CN"/>
              </w:rPr>
            </w:pPr>
          </w:p>
        </w:tc>
        <w:tc>
          <w:tcPr>
            <w:tcW w:w="2205" w:type="dxa"/>
            <w:vMerge w:val="continue"/>
            <w:vAlign w:val="center"/>
          </w:tcPr>
          <w:p w14:paraId="48136EE9">
            <w:pPr>
              <w:widowControl/>
              <w:spacing w:line="260" w:lineRule="exact"/>
              <w:ind w:left="-42" w:leftChars="-20" w:right="-42" w:rightChars="-20"/>
              <w:jc w:val="center"/>
              <w:rPr>
                <w:rFonts w:hint="eastAsia"/>
                <w:vertAlign w:val="baseline"/>
                <w:lang w:val="zh-CN" w:eastAsia="zh-CN"/>
              </w:rPr>
            </w:pPr>
          </w:p>
        </w:tc>
        <w:tc>
          <w:tcPr>
            <w:tcW w:w="1275" w:type="dxa"/>
            <w:vMerge w:val="continue"/>
            <w:vAlign w:val="center"/>
          </w:tcPr>
          <w:p w14:paraId="7ADE0F53">
            <w:pPr>
              <w:widowControl/>
              <w:spacing w:line="260" w:lineRule="exact"/>
              <w:ind w:left="-42" w:leftChars="-20" w:right="-42" w:rightChars="-20"/>
              <w:jc w:val="center"/>
              <w:rPr>
                <w:rFonts w:hint="eastAsia"/>
                <w:vertAlign w:val="baseline"/>
                <w:lang w:val="zh-CN" w:eastAsia="zh-CN"/>
              </w:rPr>
            </w:pPr>
          </w:p>
        </w:tc>
      </w:tr>
      <w:tr w14:paraId="2F58C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50" w:type="dxa"/>
            <w:vAlign w:val="center"/>
          </w:tcPr>
          <w:p w14:paraId="5F5AF575">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w:t>
            </w:r>
            <w:r>
              <w:rPr>
                <w:rFonts w:hint="default" w:ascii="Times New Roman" w:hAnsi="Times New Roman" w:eastAsia="仿宋_GB2312" w:cs="Times New Roman"/>
                <w:color w:val="000000"/>
                <w:spacing w:val="-4"/>
                <w:kern w:val="0"/>
                <w:sz w:val="21"/>
                <w:szCs w:val="21"/>
              </w:rPr>
              <w:t>.建设项目压覆重要矿产资源审批</w:t>
            </w:r>
          </w:p>
          <w:p w14:paraId="01757D21">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（0100131000）</w:t>
            </w:r>
          </w:p>
        </w:tc>
        <w:tc>
          <w:tcPr>
            <w:tcW w:w="2235" w:type="dxa"/>
            <w:vAlign w:val="center"/>
          </w:tcPr>
          <w:p w14:paraId="12D3D559">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w:t>
            </w:r>
            <w:r>
              <w:rPr>
                <w:rFonts w:hint="default" w:ascii="Times New Roman" w:hAnsi="Times New Roman" w:eastAsia="仿宋_GB2312" w:cs="Times New Roman"/>
                <w:color w:val="000000"/>
                <w:spacing w:val="-4"/>
                <w:kern w:val="0"/>
                <w:sz w:val="21"/>
                <w:szCs w:val="21"/>
              </w:rPr>
              <w:t>.建设项目压覆重要矿产资源审批</w:t>
            </w:r>
          </w:p>
          <w:p w14:paraId="75C7C8F2">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（0100131002）</w:t>
            </w:r>
          </w:p>
        </w:tc>
        <w:tc>
          <w:tcPr>
            <w:tcW w:w="6090" w:type="dxa"/>
            <w:vAlign w:val="center"/>
          </w:tcPr>
          <w:p w14:paraId="2531C1D0">
            <w:pPr>
              <w:widowControl/>
              <w:spacing w:line="260" w:lineRule="exact"/>
              <w:ind w:right="-42" w:rightChars="-20"/>
              <w:jc w:val="left"/>
              <w:rPr>
                <w:rFonts w:hint="default" w:ascii="Times New Roman" w:hAnsi="Times New Roman" w:eastAsia="仿宋_GB2312" w:cs="Times New Roman"/>
                <w:color w:val="000000"/>
                <w:spacing w:val="-8"/>
                <w:kern w:val="0"/>
                <w:sz w:val="21"/>
                <w:szCs w:val="21"/>
              </w:rPr>
            </w:pPr>
            <w:r>
              <w:rPr>
                <w:rFonts w:hint="default" w:ascii="Times New Roman" w:hAnsi="Times New Roman" w:eastAsia="仿宋_GB2312" w:cs="Times New Roman"/>
                <w:color w:val="000000"/>
                <w:spacing w:val="-4"/>
                <w:kern w:val="0"/>
                <w:sz w:val="21"/>
                <w:szCs w:val="21"/>
              </w:rPr>
              <w:t>【法律】《中华人民共和国矿产资源法》</w:t>
            </w:r>
            <w:r>
              <w:rPr>
                <w:rFonts w:hint="default" w:ascii="Times New Roman" w:hAnsi="Times New Roman" w:eastAsia="仿宋_GB2312" w:cs="Times New Roman"/>
                <w:color w:val="000000"/>
                <w:spacing w:val="-8"/>
                <w:kern w:val="0"/>
                <w:sz w:val="21"/>
                <w:szCs w:val="21"/>
              </w:rPr>
              <w:t xml:space="preserve">第三十三条 </w:t>
            </w:r>
          </w:p>
          <w:p w14:paraId="44AB2E33">
            <w:pPr>
              <w:widowControl/>
              <w:spacing w:line="260" w:lineRule="exact"/>
              <w:ind w:right="-42" w:rightChars="-20"/>
              <w:jc w:val="left"/>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【规范性文件】《国土资源部关于进一步做好建设项目压覆重要矿产资源审批管理工作的通知》（国土资发〔2010〕137号）第三条</w:t>
            </w:r>
          </w:p>
        </w:tc>
        <w:tc>
          <w:tcPr>
            <w:tcW w:w="1605" w:type="dxa"/>
            <w:vAlign w:val="center"/>
          </w:tcPr>
          <w:p w14:paraId="57E7B87C">
            <w:pPr>
              <w:widowControl/>
              <w:spacing w:line="260" w:lineRule="exact"/>
              <w:ind w:left="-42" w:leftChars="-20" w:right="-42" w:rightChars="-20"/>
              <w:jc w:val="center"/>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行政许可</w:t>
            </w:r>
          </w:p>
        </w:tc>
        <w:tc>
          <w:tcPr>
            <w:tcW w:w="2205" w:type="dxa"/>
            <w:vAlign w:val="center"/>
          </w:tcPr>
          <w:p w14:paraId="1602F954">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下放。开展区域评估的地区，建设项目压覆重要矿产资源情况由设区市自然资源局主动向公众提供查询，建立健全事中事后监管措施。</w:t>
            </w:r>
          </w:p>
        </w:tc>
        <w:tc>
          <w:tcPr>
            <w:tcW w:w="1275" w:type="dxa"/>
            <w:vAlign w:val="center"/>
          </w:tcPr>
          <w:p w14:paraId="076F647F">
            <w:pPr>
              <w:widowControl/>
              <w:spacing w:line="260" w:lineRule="exact"/>
              <w:ind w:left="-42" w:leftChars="-20" w:right="-42" w:rightChars="-20"/>
              <w:jc w:val="center"/>
              <w:rPr>
                <w:rFonts w:hint="eastAsia"/>
                <w:vertAlign w:val="baseline"/>
                <w:lang w:val="zh-CN" w:eastAsia="zh-CN"/>
              </w:rPr>
            </w:pPr>
            <w:r>
              <w:rPr>
                <w:rFonts w:hint="eastAsia" w:ascii="Times New Roman" w:hAnsi="Times New Roman" w:eastAsia="仿宋_GB2312" w:cs="Times New Roman"/>
                <w:color w:val="000000"/>
                <w:spacing w:val="-4"/>
                <w:kern w:val="0"/>
                <w:sz w:val="21"/>
                <w:szCs w:val="21"/>
                <w:lang w:eastAsia="zh-CN"/>
              </w:rPr>
              <w:t>挂起</w:t>
            </w:r>
          </w:p>
        </w:tc>
      </w:tr>
      <w:tr w14:paraId="501B9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50" w:type="dxa"/>
            <w:vAlign w:val="center"/>
          </w:tcPr>
          <w:p w14:paraId="73EF5659">
            <w:pPr>
              <w:widowControl/>
              <w:spacing w:line="240" w:lineRule="exact"/>
              <w:ind w:left="-42" w:leftChars="-20" w:right="-42" w:rightChars="-20"/>
              <w:rPr>
                <w:rFonts w:hint="eastAsia" w:ascii="Times New Roman" w:hAnsi="Times New Roman" w:eastAsia="仿宋_GB2312" w:cs="Times New Roman"/>
                <w:color w:val="000000"/>
                <w:spacing w:val="-4"/>
                <w:kern w:val="0"/>
                <w:sz w:val="21"/>
                <w:szCs w:val="21"/>
                <w:lang w:val="zh-CN" w:eastAsia="zh-CN" w:bidi="zh-CN"/>
              </w:rPr>
            </w:pPr>
            <w:r>
              <w:rPr>
                <w:rFonts w:hint="eastAsia" w:ascii="Times New Roman" w:hAnsi="Times New Roman" w:eastAsia="仿宋_GB2312" w:cs="Times New Roman"/>
                <w:color w:val="000000"/>
                <w:spacing w:val="-4"/>
                <w:kern w:val="0"/>
                <w:sz w:val="21"/>
                <w:szCs w:val="21"/>
                <w:lang w:val="en-US" w:eastAsia="zh-CN"/>
              </w:rPr>
              <w:t>2</w:t>
            </w:r>
            <w:r>
              <w:rPr>
                <w:rFonts w:hint="default" w:ascii="Times New Roman" w:hAnsi="Times New Roman" w:eastAsia="仿宋_GB2312" w:cs="Times New Roman"/>
                <w:color w:val="000000"/>
                <w:spacing w:val="-4"/>
                <w:kern w:val="0"/>
                <w:sz w:val="21"/>
                <w:szCs w:val="21"/>
              </w:rPr>
              <w:t>.占用或者征收林地的审核或审批（0100450000）</w:t>
            </w:r>
          </w:p>
        </w:tc>
        <w:tc>
          <w:tcPr>
            <w:tcW w:w="2235" w:type="dxa"/>
            <w:vAlign w:val="center"/>
          </w:tcPr>
          <w:p w14:paraId="0C0CEFDA">
            <w:pPr>
              <w:widowControl/>
              <w:spacing w:line="24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2</w:t>
            </w:r>
            <w:r>
              <w:rPr>
                <w:rFonts w:hint="default" w:ascii="Times New Roman" w:hAnsi="Times New Roman" w:eastAsia="仿宋_GB2312" w:cs="Times New Roman"/>
                <w:color w:val="000000"/>
                <w:spacing w:val="-4"/>
                <w:kern w:val="0"/>
                <w:sz w:val="21"/>
                <w:szCs w:val="21"/>
              </w:rPr>
              <w:t>.永久性占用征收林地</w:t>
            </w:r>
          </w:p>
          <w:p w14:paraId="76619777">
            <w:pPr>
              <w:widowControl/>
              <w:spacing w:line="24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（0100450001）</w:t>
            </w:r>
          </w:p>
        </w:tc>
        <w:tc>
          <w:tcPr>
            <w:tcW w:w="6090" w:type="dxa"/>
            <w:vAlign w:val="center"/>
          </w:tcPr>
          <w:p w14:paraId="5BB15AF0">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【法律】《中华人民共和国森林法》</w:t>
            </w:r>
            <w:r>
              <w:rPr>
                <w:rFonts w:hint="default" w:ascii="Times New Roman" w:hAnsi="Times New Roman" w:eastAsia="仿宋_GB2312" w:cs="Times New Roman"/>
                <w:color w:val="000000"/>
                <w:spacing w:val="-8"/>
                <w:kern w:val="0"/>
                <w:sz w:val="21"/>
                <w:szCs w:val="21"/>
              </w:rPr>
              <w:t xml:space="preserve">第十八条 </w:t>
            </w:r>
          </w:p>
          <w:p w14:paraId="7CD2FEA7">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 xml:space="preserve">【行政法规】《森林法实施条例》（国务院令第278号）第十六条　 </w:t>
            </w:r>
          </w:p>
        </w:tc>
        <w:tc>
          <w:tcPr>
            <w:tcW w:w="1605" w:type="dxa"/>
            <w:vAlign w:val="center"/>
          </w:tcPr>
          <w:p w14:paraId="745EEF91">
            <w:pPr>
              <w:widowControl/>
              <w:spacing w:line="260" w:lineRule="exact"/>
              <w:ind w:left="-42" w:leftChars="-20" w:right="-42" w:rightChars="-20"/>
              <w:jc w:val="center"/>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行政许可</w:t>
            </w:r>
          </w:p>
        </w:tc>
        <w:tc>
          <w:tcPr>
            <w:tcW w:w="2205" w:type="dxa"/>
            <w:vAlign w:val="center"/>
          </w:tcPr>
          <w:p w14:paraId="30B0AC00">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　</w:t>
            </w:r>
          </w:p>
        </w:tc>
        <w:tc>
          <w:tcPr>
            <w:tcW w:w="1275" w:type="dxa"/>
            <w:vAlign w:val="center"/>
          </w:tcPr>
          <w:p w14:paraId="15F16D33">
            <w:pPr>
              <w:widowControl/>
              <w:spacing w:line="260" w:lineRule="exact"/>
              <w:ind w:left="-42" w:leftChars="-20" w:right="-42" w:rightChars="-20"/>
              <w:jc w:val="center"/>
              <w:rPr>
                <w:rFonts w:hint="eastAsia"/>
                <w:vertAlign w:val="baseline"/>
                <w:lang w:val="zh-CN" w:eastAsia="zh-CN"/>
              </w:rPr>
            </w:pPr>
            <w:r>
              <w:rPr>
                <w:rFonts w:hint="eastAsia" w:ascii="Times New Roman" w:hAnsi="Times New Roman" w:eastAsia="仿宋_GB2312" w:cs="Times New Roman"/>
                <w:color w:val="000000"/>
                <w:spacing w:val="-4"/>
                <w:kern w:val="0"/>
                <w:sz w:val="21"/>
                <w:szCs w:val="21"/>
                <w:lang w:eastAsia="zh-CN"/>
              </w:rPr>
              <w:t>挂起</w:t>
            </w:r>
          </w:p>
        </w:tc>
      </w:tr>
      <w:tr w14:paraId="5B651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50" w:type="dxa"/>
            <w:vAlign w:val="center"/>
          </w:tcPr>
          <w:p w14:paraId="371DDE34">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3</w:t>
            </w:r>
            <w:r>
              <w:rPr>
                <w:rFonts w:hint="default" w:ascii="Times New Roman" w:hAnsi="Times New Roman" w:eastAsia="仿宋_GB2312" w:cs="Times New Roman"/>
                <w:color w:val="000000"/>
                <w:spacing w:val="-4"/>
                <w:kern w:val="0"/>
                <w:sz w:val="21"/>
                <w:szCs w:val="21"/>
              </w:rPr>
              <w:t>.新建、改建、扩建对地震监测设施和地震观测环境造成危害的项目批准</w:t>
            </w:r>
          </w:p>
          <w:p w14:paraId="0FCF541F">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（0100504000）</w:t>
            </w:r>
          </w:p>
        </w:tc>
        <w:tc>
          <w:tcPr>
            <w:tcW w:w="2235" w:type="dxa"/>
            <w:vAlign w:val="center"/>
          </w:tcPr>
          <w:p w14:paraId="636B2DAF">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3</w:t>
            </w:r>
            <w:r>
              <w:rPr>
                <w:rFonts w:hint="default" w:ascii="Times New Roman" w:hAnsi="Times New Roman" w:eastAsia="仿宋_GB2312" w:cs="Times New Roman"/>
                <w:color w:val="000000"/>
                <w:spacing w:val="-4"/>
                <w:kern w:val="0"/>
                <w:sz w:val="21"/>
                <w:szCs w:val="21"/>
              </w:rPr>
              <w:t>.新建、改建、扩建对地震监测设施和地震观测环境造成危害的项目批准</w:t>
            </w:r>
          </w:p>
          <w:p w14:paraId="2AD0AF32">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（0100504000）</w:t>
            </w:r>
          </w:p>
        </w:tc>
        <w:tc>
          <w:tcPr>
            <w:tcW w:w="6090" w:type="dxa"/>
            <w:vAlign w:val="center"/>
          </w:tcPr>
          <w:p w14:paraId="4A1B7F14">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【法律】《中华人民共和国防震减灾法》第二十四条 </w:t>
            </w:r>
          </w:p>
          <w:p w14:paraId="2C998285">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【行政法规】《地震监测管理条例》(国务院令第409号)第三十二条</w:t>
            </w:r>
          </w:p>
          <w:p w14:paraId="47BBE61A">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 xml:space="preserve">【地方性法规】《江苏省人民代表大会常务委员会关于加强地震观测环境保护的决定》第五条 </w:t>
            </w:r>
          </w:p>
        </w:tc>
        <w:tc>
          <w:tcPr>
            <w:tcW w:w="1605" w:type="dxa"/>
            <w:vAlign w:val="center"/>
          </w:tcPr>
          <w:p w14:paraId="3D8C5CDF">
            <w:pPr>
              <w:widowControl/>
              <w:spacing w:line="260" w:lineRule="exact"/>
              <w:ind w:left="-42" w:leftChars="-20" w:right="-42" w:rightChars="-20"/>
              <w:jc w:val="center"/>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行政许可</w:t>
            </w:r>
          </w:p>
        </w:tc>
        <w:tc>
          <w:tcPr>
            <w:tcW w:w="2205" w:type="dxa"/>
            <w:vAlign w:val="center"/>
          </w:tcPr>
          <w:p w14:paraId="114B83A7">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　</w:t>
            </w:r>
          </w:p>
        </w:tc>
        <w:tc>
          <w:tcPr>
            <w:tcW w:w="1275" w:type="dxa"/>
            <w:vAlign w:val="center"/>
          </w:tcPr>
          <w:p w14:paraId="38D2BEAF">
            <w:pPr>
              <w:widowControl/>
              <w:spacing w:line="260" w:lineRule="exact"/>
              <w:ind w:left="-42" w:leftChars="-20" w:right="-42" w:rightChars="-20"/>
              <w:jc w:val="center"/>
              <w:rPr>
                <w:rFonts w:hint="eastAsia"/>
                <w:vertAlign w:val="baseline"/>
                <w:lang w:val="zh-CN" w:eastAsia="zh-CN"/>
              </w:rPr>
            </w:pPr>
            <w:r>
              <w:rPr>
                <w:rFonts w:hint="eastAsia" w:ascii="Times New Roman" w:hAnsi="Times New Roman" w:eastAsia="仿宋_GB2312" w:cs="Times New Roman"/>
                <w:color w:val="000000"/>
                <w:spacing w:val="-4"/>
                <w:kern w:val="0"/>
                <w:sz w:val="21"/>
                <w:szCs w:val="21"/>
                <w:lang w:eastAsia="zh-CN"/>
              </w:rPr>
              <w:t>挂起</w:t>
            </w:r>
          </w:p>
        </w:tc>
      </w:tr>
      <w:tr w14:paraId="401A9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50" w:type="dxa"/>
            <w:vMerge w:val="restart"/>
            <w:vAlign w:val="center"/>
          </w:tcPr>
          <w:p w14:paraId="607E3C4D">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4</w:t>
            </w:r>
            <w:r>
              <w:rPr>
                <w:rFonts w:hint="default" w:ascii="Times New Roman" w:hAnsi="Times New Roman" w:eastAsia="仿宋_GB2312" w:cs="Times New Roman"/>
                <w:color w:val="000000"/>
                <w:spacing w:val="-4"/>
                <w:kern w:val="0"/>
                <w:sz w:val="21"/>
                <w:szCs w:val="21"/>
              </w:rPr>
              <w:t>.风景名胜区内事项许可</w:t>
            </w:r>
          </w:p>
          <w:p w14:paraId="7646A0FF">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（0100167000）</w:t>
            </w:r>
          </w:p>
        </w:tc>
        <w:tc>
          <w:tcPr>
            <w:tcW w:w="2235" w:type="dxa"/>
            <w:vAlign w:val="center"/>
          </w:tcPr>
          <w:p w14:paraId="415B9C91">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4</w:t>
            </w:r>
            <w:r>
              <w:rPr>
                <w:rFonts w:hint="default" w:ascii="Times New Roman" w:hAnsi="Times New Roman" w:eastAsia="仿宋_GB2312" w:cs="Times New Roman"/>
                <w:color w:val="000000"/>
                <w:spacing w:val="-4"/>
                <w:kern w:val="0"/>
                <w:sz w:val="21"/>
                <w:szCs w:val="21"/>
              </w:rPr>
              <w:t>.在国家级风景名胜区内修建缆车、索道等重大建设工程项目选址方案核准</w:t>
            </w:r>
          </w:p>
          <w:p w14:paraId="6A102C86">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（0100167001）</w:t>
            </w:r>
          </w:p>
        </w:tc>
        <w:tc>
          <w:tcPr>
            <w:tcW w:w="6090" w:type="dxa"/>
            <w:vAlign w:val="center"/>
          </w:tcPr>
          <w:p w14:paraId="1BB2117D">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【行政法规】《风景名胜区条例》（国务院令第474号公布，国务院令第666号修改）第二十八条 </w:t>
            </w:r>
          </w:p>
          <w:p w14:paraId="29A6D6F6">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【规范性文件】《国务院关于印发清理规范投资项目报建审批事项实施方案的通知》（国发〔2016〕29号）</w:t>
            </w:r>
          </w:p>
          <w:p w14:paraId="2C5D204F">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【行政法规】《国务院关于取消和调整一批行政审批项目等事项的决定》(国发（2014）50号)附件1第21项</w:t>
            </w:r>
          </w:p>
        </w:tc>
        <w:tc>
          <w:tcPr>
            <w:tcW w:w="1605" w:type="dxa"/>
            <w:vAlign w:val="center"/>
          </w:tcPr>
          <w:p w14:paraId="2C6A4E75">
            <w:pPr>
              <w:widowControl/>
              <w:spacing w:line="260" w:lineRule="exact"/>
              <w:ind w:left="-42" w:leftChars="-20" w:right="-42" w:rightChars="-20"/>
              <w:jc w:val="center"/>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行政许可</w:t>
            </w:r>
          </w:p>
        </w:tc>
        <w:tc>
          <w:tcPr>
            <w:tcW w:w="2205" w:type="dxa"/>
            <w:vAlign w:val="center"/>
          </w:tcPr>
          <w:p w14:paraId="0AF83539">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　</w:t>
            </w:r>
          </w:p>
        </w:tc>
        <w:tc>
          <w:tcPr>
            <w:tcW w:w="1275" w:type="dxa"/>
            <w:vAlign w:val="center"/>
          </w:tcPr>
          <w:p w14:paraId="3209AF77">
            <w:pPr>
              <w:widowControl/>
              <w:spacing w:line="260" w:lineRule="exact"/>
              <w:ind w:left="-42" w:leftChars="-20" w:right="-42" w:rightChars="-20"/>
              <w:jc w:val="center"/>
              <w:rPr>
                <w:rFonts w:hint="eastAsia"/>
                <w:vertAlign w:val="baseline"/>
                <w:lang w:val="zh-CN" w:eastAsia="zh-CN"/>
              </w:rPr>
            </w:pPr>
            <w:r>
              <w:rPr>
                <w:rFonts w:hint="eastAsia" w:ascii="Times New Roman" w:hAnsi="Times New Roman" w:eastAsia="仿宋_GB2312" w:cs="Times New Roman"/>
                <w:color w:val="000000"/>
                <w:spacing w:val="-4"/>
                <w:kern w:val="0"/>
                <w:sz w:val="21"/>
                <w:szCs w:val="21"/>
                <w:lang w:eastAsia="zh-CN"/>
              </w:rPr>
              <w:t>挂起</w:t>
            </w:r>
          </w:p>
        </w:tc>
      </w:tr>
      <w:tr w14:paraId="596E2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50" w:type="dxa"/>
            <w:vMerge w:val="continue"/>
            <w:vAlign w:val="center"/>
          </w:tcPr>
          <w:p w14:paraId="54CE4CC8">
            <w:pPr>
              <w:widowControl/>
              <w:spacing w:line="260" w:lineRule="exact"/>
              <w:ind w:left="-42" w:leftChars="-20" w:right="-42" w:rightChars="-20"/>
              <w:rPr>
                <w:rFonts w:hint="eastAsia"/>
                <w:vertAlign w:val="baseline"/>
                <w:lang w:val="zh-CN" w:eastAsia="zh-CN"/>
              </w:rPr>
            </w:pPr>
          </w:p>
        </w:tc>
        <w:tc>
          <w:tcPr>
            <w:tcW w:w="2235" w:type="dxa"/>
            <w:vAlign w:val="center"/>
          </w:tcPr>
          <w:p w14:paraId="44441B05">
            <w:pPr>
              <w:widowControl/>
              <w:spacing w:line="260" w:lineRule="exact"/>
              <w:ind w:left="-42" w:leftChars="-20" w:right="-42" w:rightChars="-20"/>
              <w:rPr>
                <w:rFonts w:hint="eastAsia"/>
                <w:vertAlign w:val="baseline"/>
                <w:lang w:val="zh-CN" w:eastAsia="zh-CN"/>
              </w:rPr>
            </w:pPr>
            <w:r>
              <w:rPr>
                <w:rFonts w:hint="eastAsia" w:ascii="Times New Roman" w:hAnsi="Times New Roman" w:eastAsia="仿宋_GB2312" w:cs="Times New Roman"/>
                <w:color w:val="000000"/>
                <w:spacing w:val="-4"/>
                <w:kern w:val="0"/>
                <w:sz w:val="21"/>
                <w:szCs w:val="21"/>
                <w:lang w:val="en-US" w:eastAsia="zh-CN"/>
              </w:rPr>
              <w:t>5</w:t>
            </w:r>
            <w:r>
              <w:rPr>
                <w:rFonts w:hint="default" w:ascii="Times New Roman" w:hAnsi="Times New Roman" w:eastAsia="仿宋_GB2312" w:cs="Times New Roman"/>
                <w:color w:val="000000"/>
                <w:spacing w:val="-4"/>
                <w:kern w:val="0"/>
                <w:sz w:val="21"/>
                <w:szCs w:val="21"/>
              </w:rPr>
              <w:t>.风景名胜区内建设活动审批（0100167005）</w:t>
            </w:r>
          </w:p>
        </w:tc>
        <w:tc>
          <w:tcPr>
            <w:tcW w:w="6090" w:type="dxa"/>
            <w:vAlign w:val="center"/>
          </w:tcPr>
          <w:p w14:paraId="02135319">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【规范性文件】《国务院关于印发清理规范投资项目报建审批事项实施方案的通知》（国发〔2016〕29号）</w:t>
            </w:r>
          </w:p>
          <w:p w14:paraId="26563DB6">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【地方性法规】《江苏省风景名胜区管理条例》第十四条 </w:t>
            </w:r>
          </w:p>
          <w:p w14:paraId="3A0C5D11">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【地方性法规】《江苏省太湖风景名胜区条例》第十九条　</w:t>
            </w:r>
          </w:p>
        </w:tc>
        <w:tc>
          <w:tcPr>
            <w:tcW w:w="1605" w:type="dxa"/>
            <w:vAlign w:val="center"/>
          </w:tcPr>
          <w:p w14:paraId="74946639">
            <w:pPr>
              <w:widowControl/>
              <w:spacing w:line="260" w:lineRule="exact"/>
              <w:ind w:left="-42" w:leftChars="-20" w:right="-42" w:rightChars="-20"/>
              <w:jc w:val="center"/>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行政许可</w:t>
            </w:r>
          </w:p>
        </w:tc>
        <w:tc>
          <w:tcPr>
            <w:tcW w:w="2205" w:type="dxa"/>
            <w:vAlign w:val="center"/>
          </w:tcPr>
          <w:p w14:paraId="377CCF74">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　</w:t>
            </w:r>
          </w:p>
        </w:tc>
        <w:tc>
          <w:tcPr>
            <w:tcW w:w="1275" w:type="dxa"/>
            <w:vAlign w:val="center"/>
          </w:tcPr>
          <w:p w14:paraId="29F14CC4">
            <w:pPr>
              <w:widowControl/>
              <w:spacing w:line="260" w:lineRule="exact"/>
              <w:ind w:left="-42" w:leftChars="-20" w:right="-42" w:rightChars="-20"/>
              <w:jc w:val="center"/>
              <w:rPr>
                <w:rFonts w:hint="eastAsia"/>
                <w:vertAlign w:val="baseline"/>
                <w:lang w:val="zh-CN" w:eastAsia="zh-CN"/>
              </w:rPr>
            </w:pPr>
            <w:r>
              <w:rPr>
                <w:rFonts w:hint="eastAsia" w:ascii="Times New Roman" w:hAnsi="Times New Roman" w:eastAsia="仿宋_GB2312" w:cs="Times New Roman"/>
                <w:color w:val="000000"/>
                <w:spacing w:val="-4"/>
                <w:kern w:val="0"/>
                <w:sz w:val="21"/>
                <w:szCs w:val="21"/>
                <w:lang w:eastAsia="zh-CN"/>
              </w:rPr>
              <w:t>挂起</w:t>
            </w:r>
          </w:p>
        </w:tc>
      </w:tr>
      <w:tr w14:paraId="5ABC8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50" w:type="dxa"/>
            <w:vAlign w:val="center"/>
          </w:tcPr>
          <w:p w14:paraId="1CD4CD81">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5.</w:t>
            </w:r>
            <w:r>
              <w:rPr>
                <w:rFonts w:hint="default" w:ascii="Times New Roman" w:hAnsi="Times New Roman" w:eastAsia="仿宋_GB2312" w:cs="Times New Roman"/>
                <w:color w:val="000000"/>
                <w:spacing w:val="-4"/>
                <w:kern w:val="0"/>
                <w:sz w:val="21"/>
                <w:szCs w:val="21"/>
              </w:rPr>
              <w:t>乡村建设规划许可证的核发</w:t>
            </w:r>
          </w:p>
          <w:p w14:paraId="3A8F00ED">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（0100151000）</w:t>
            </w:r>
          </w:p>
        </w:tc>
        <w:tc>
          <w:tcPr>
            <w:tcW w:w="2235" w:type="dxa"/>
            <w:vAlign w:val="center"/>
          </w:tcPr>
          <w:p w14:paraId="553517BD">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6</w:t>
            </w:r>
            <w:r>
              <w:rPr>
                <w:rFonts w:hint="default" w:ascii="Times New Roman" w:hAnsi="Times New Roman" w:eastAsia="仿宋_GB2312" w:cs="Times New Roman"/>
                <w:color w:val="000000"/>
                <w:spacing w:val="-4"/>
                <w:kern w:val="0"/>
                <w:sz w:val="21"/>
                <w:szCs w:val="21"/>
              </w:rPr>
              <w:t>.乡村建设规划许可证的核发</w:t>
            </w:r>
          </w:p>
          <w:p w14:paraId="6650D29A">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（0100151000）</w:t>
            </w:r>
          </w:p>
        </w:tc>
        <w:tc>
          <w:tcPr>
            <w:tcW w:w="6090" w:type="dxa"/>
            <w:vAlign w:val="center"/>
          </w:tcPr>
          <w:p w14:paraId="1BA739BD">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 xml:space="preserve">【法律】《中华人民共和国城乡规划法》第四十一条第一款、第三款 </w:t>
            </w:r>
          </w:p>
        </w:tc>
        <w:tc>
          <w:tcPr>
            <w:tcW w:w="1605" w:type="dxa"/>
            <w:vAlign w:val="center"/>
          </w:tcPr>
          <w:p w14:paraId="0040E9B2">
            <w:pPr>
              <w:widowControl/>
              <w:spacing w:line="260" w:lineRule="exact"/>
              <w:ind w:left="-42" w:leftChars="-20" w:right="-42" w:rightChars="-20"/>
              <w:jc w:val="center"/>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行政许可</w:t>
            </w:r>
          </w:p>
        </w:tc>
        <w:tc>
          <w:tcPr>
            <w:tcW w:w="2205" w:type="dxa"/>
            <w:vAlign w:val="center"/>
          </w:tcPr>
          <w:p w14:paraId="03620484">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　</w:t>
            </w:r>
          </w:p>
        </w:tc>
        <w:tc>
          <w:tcPr>
            <w:tcW w:w="1275" w:type="dxa"/>
            <w:vAlign w:val="center"/>
          </w:tcPr>
          <w:p w14:paraId="442ECA94">
            <w:pPr>
              <w:widowControl/>
              <w:spacing w:line="260" w:lineRule="exact"/>
              <w:ind w:left="-42" w:leftChars="-20" w:right="-42" w:rightChars="-20"/>
              <w:jc w:val="center"/>
              <w:rPr>
                <w:rFonts w:hint="eastAsia"/>
                <w:vertAlign w:val="baseline"/>
                <w:lang w:val="zh-CN" w:eastAsia="zh-CN"/>
              </w:rPr>
            </w:pPr>
            <w:r>
              <w:rPr>
                <w:rFonts w:hint="eastAsia" w:ascii="Times New Roman" w:hAnsi="Times New Roman" w:eastAsia="仿宋_GB2312" w:cs="Times New Roman"/>
                <w:color w:val="000000"/>
                <w:spacing w:val="-4"/>
                <w:kern w:val="0"/>
                <w:sz w:val="21"/>
                <w:szCs w:val="21"/>
                <w:lang w:eastAsia="zh-CN"/>
              </w:rPr>
              <w:t>挂起</w:t>
            </w:r>
          </w:p>
        </w:tc>
      </w:tr>
      <w:tr w14:paraId="488B0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50" w:type="dxa"/>
            <w:vAlign w:val="center"/>
          </w:tcPr>
          <w:p w14:paraId="4472C32B">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6</w:t>
            </w:r>
            <w:r>
              <w:rPr>
                <w:rFonts w:hint="default" w:ascii="Times New Roman" w:hAnsi="Times New Roman" w:eastAsia="仿宋_GB2312" w:cs="Times New Roman"/>
                <w:color w:val="000000"/>
                <w:spacing w:val="-4"/>
                <w:kern w:val="0"/>
                <w:sz w:val="21"/>
                <w:szCs w:val="21"/>
              </w:rPr>
              <w:t>.排污口审批</w:t>
            </w:r>
          </w:p>
          <w:p w14:paraId="532C7645">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（0100512000）</w:t>
            </w:r>
          </w:p>
        </w:tc>
        <w:tc>
          <w:tcPr>
            <w:tcW w:w="2235" w:type="dxa"/>
            <w:vAlign w:val="center"/>
          </w:tcPr>
          <w:p w14:paraId="13B45467">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7</w:t>
            </w:r>
            <w:r>
              <w:rPr>
                <w:rFonts w:hint="default" w:ascii="Times New Roman" w:hAnsi="Times New Roman" w:eastAsia="仿宋_GB2312" w:cs="Times New Roman"/>
                <w:color w:val="000000"/>
                <w:spacing w:val="-4"/>
                <w:kern w:val="0"/>
                <w:sz w:val="21"/>
                <w:szCs w:val="21"/>
              </w:rPr>
              <w:t>.排污口审批</w:t>
            </w:r>
          </w:p>
          <w:p w14:paraId="214F4B87">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（0100512000）</w:t>
            </w:r>
          </w:p>
        </w:tc>
        <w:tc>
          <w:tcPr>
            <w:tcW w:w="6090" w:type="dxa"/>
            <w:vAlign w:val="center"/>
          </w:tcPr>
          <w:p w14:paraId="6524C0B7">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【法律】《中华人民共和国水法》第三十四条第二款  </w:t>
            </w:r>
          </w:p>
          <w:p w14:paraId="47C9CB56">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【法律】《中华人民共和国水污染防治法》第十九条第二款 </w:t>
            </w:r>
          </w:p>
          <w:p w14:paraId="1ED7DCE4">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【地方性法规】《江苏省水资源管理条例》第二十七条　</w:t>
            </w:r>
          </w:p>
        </w:tc>
        <w:tc>
          <w:tcPr>
            <w:tcW w:w="1605" w:type="dxa"/>
            <w:vAlign w:val="center"/>
          </w:tcPr>
          <w:p w14:paraId="1E20DADD">
            <w:pPr>
              <w:widowControl/>
              <w:spacing w:line="260" w:lineRule="exact"/>
              <w:ind w:left="-42" w:leftChars="-20" w:right="-42" w:rightChars="-20"/>
              <w:jc w:val="center"/>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行政许可</w:t>
            </w:r>
          </w:p>
        </w:tc>
        <w:tc>
          <w:tcPr>
            <w:tcW w:w="2205" w:type="dxa"/>
            <w:vAlign w:val="center"/>
          </w:tcPr>
          <w:p w14:paraId="6998C029">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　</w:t>
            </w:r>
          </w:p>
        </w:tc>
        <w:tc>
          <w:tcPr>
            <w:tcW w:w="1275" w:type="dxa"/>
            <w:vAlign w:val="center"/>
          </w:tcPr>
          <w:p w14:paraId="23688906">
            <w:pPr>
              <w:widowControl/>
              <w:spacing w:line="260" w:lineRule="exact"/>
              <w:ind w:left="-42" w:leftChars="-20" w:right="-42" w:rightChars="-20"/>
              <w:jc w:val="center"/>
              <w:rPr>
                <w:rFonts w:hint="eastAsia"/>
                <w:vertAlign w:val="baseline"/>
                <w:lang w:val="zh-CN" w:eastAsia="zh-CN"/>
              </w:rPr>
            </w:pPr>
            <w:r>
              <w:rPr>
                <w:rFonts w:hint="eastAsia" w:ascii="Times New Roman" w:hAnsi="Times New Roman" w:eastAsia="仿宋_GB2312" w:cs="Times New Roman"/>
                <w:color w:val="000000"/>
                <w:spacing w:val="-4"/>
                <w:kern w:val="0"/>
                <w:sz w:val="21"/>
                <w:szCs w:val="21"/>
                <w:lang w:eastAsia="zh-CN"/>
              </w:rPr>
              <w:t>挂起</w:t>
            </w:r>
          </w:p>
        </w:tc>
      </w:tr>
      <w:tr w14:paraId="27DCE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50" w:type="dxa"/>
            <w:vAlign w:val="center"/>
          </w:tcPr>
          <w:p w14:paraId="6843D53E">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7</w:t>
            </w:r>
            <w:r>
              <w:rPr>
                <w:rFonts w:hint="default" w:ascii="Times New Roman" w:hAnsi="Times New Roman" w:eastAsia="仿宋_GB2312" w:cs="Times New Roman"/>
                <w:color w:val="000000"/>
                <w:spacing w:val="-4"/>
                <w:kern w:val="0"/>
                <w:sz w:val="21"/>
                <w:szCs w:val="21"/>
              </w:rPr>
              <w:t>.建设工程地震安全性评价结果的审定及抗震设防要求的确定</w:t>
            </w:r>
          </w:p>
          <w:p w14:paraId="02E3DD2E">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（0100505000）</w:t>
            </w:r>
          </w:p>
        </w:tc>
        <w:tc>
          <w:tcPr>
            <w:tcW w:w="2235" w:type="dxa"/>
            <w:vAlign w:val="center"/>
          </w:tcPr>
          <w:p w14:paraId="526AB054">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8</w:t>
            </w:r>
            <w:r>
              <w:rPr>
                <w:rFonts w:hint="default" w:ascii="Times New Roman" w:hAnsi="Times New Roman" w:eastAsia="仿宋_GB2312" w:cs="Times New Roman"/>
                <w:color w:val="000000"/>
                <w:spacing w:val="-4"/>
                <w:kern w:val="0"/>
                <w:sz w:val="21"/>
                <w:szCs w:val="21"/>
              </w:rPr>
              <w:t>.建设工程地震安全性评价结果的审定及抗震设防要求的确定</w:t>
            </w:r>
          </w:p>
          <w:p w14:paraId="60380BA7">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（0100505001）</w:t>
            </w:r>
          </w:p>
        </w:tc>
        <w:tc>
          <w:tcPr>
            <w:tcW w:w="6090" w:type="dxa"/>
            <w:vAlign w:val="center"/>
          </w:tcPr>
          <w:p w14:paraId="1347BEA2">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【法律】《中华人民共和国防震减灾法》 第三十四条、第三十五条 </w:t>
            </w:r>
          </w:p>
          <w:p w14:paraId="56CAFB8D">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【行政法规】《地震安全性评价管理条例》（国务院第323号令公布，国务院第709号令修订） 第十一条、第十二条 </w:t>
            </w:r>
          </w:p>
          <w:p w14:paraId="4D8BC64A">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【地方性法规】《江苏省防震减灾条例》（2017年新修订） 第二十二条、第二十三条</w:t>
            </w:r>
          </w:p>
          <w:p w14:paraId="6BB1B344">
            <w:pPr>
              <w:widowControl/>
              <w:spacing w:line="260" w:lineRule="exact"/>
              <w:ind w:left="-42" w:leftChars="-20" w:right="-42" w:rightChars="-20"/>
              <w:rPr>
                <w:rFonts w:hint="eastAsia"/>
                <w:vertAlign w:val="baseline"/>
                <w:lang w:val="zh-CN" w:eastAsia="zh-CN"/>
              </w:rPr>
            </w:pPr>
          </w:p>
        </w:tc>
        <w:tc>
          <w:tcPr>
            <w:tcW w:w="1605" w:type="dxa"/>
            <w:vAlign w:val="center"/>
          </w:tcPr>
          <w:p w14:paraId="7A4ACBD5">
            <w:pPr>
              <w:widowControl/>
              <w:spacing w:line="260" w:lineRule="exact"/>
              <w:ind w:left="-42" w:leftChars="-20" w:right="-42" w:rightChars="-20"/>
              <w:jc w:val="center"/>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行政许可</w:t>
            </w:r>
          </w:p>
        </w:tc>
        <w:tc>
          <w:tcPr>
            <w:tcW w:w="2205" w:type="dxa"/>
            <w:vAlign w:val="center"/>
          </w:tcPr>
          <w:p w14:paraId="7AD5D693">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将“建设工程抗震设防要求的确定（0100505001）”和“地震安全性评价报告技术审查”合并为“建设工程地震安全性评价结果的审定及抗震设防要求的确定（0100505001）”。</w:t>
            </w:r>
          </w:p>
        </w:tc>
        <w:tc>
          <w:tcPr>
            <w:tcW w:w="1275" w:type="dxa"/>
            <w:vAlign w:val="center"/>
          </w:tcPr>
          <w:p w14:paraId="5ACD4E21">
            <w:pPr>
              <w:widowControl/>
              <w:spacing w:line="260" w:lineRule="exact"/>
              <w:ind w:left="-42" w:leftChars="-20" w:right="-42" w:rightChars="-20"/>
              <w:jc w:val="center"/>
              <w:rPr>
                <w:rFonts w:hint="eastAsia"/>
                <w:vertAlign w:val="baseline"/>
                <w:lang w:val="zh-CN" w:eastAsia="zh-CN"/>
              </w:rPr>
            </w:pPr>
            <w:r>
              <w:rPr>
                <w:rFonts w:hint="eastAsia" w:ascii="Times New Roman" w:hAnsi="Times New Roman" w:eastAsia="仿宋_GB2312" w:cs="Times New Roman"/>
                <w:color w:val="000000"/>
                <w:spacing w:val="-4"/>
                <w:kern w:val="0"/>
                <w:sz w:val="21"/>
                <w:szCs w:val="21"/>
                <w:lang w:eastAsia="zh-CN"/>
              </w:rPr>
              <w:t>挂起</w:t>
            </w:r>
          </w:p>
        </w:tc>
      </w:tr>
      <w:tr w14:paraId="04F2D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50" w:type="dxa"/>
            <w:vAlign w:val="center"/>
          </w:tcPr>
          <w:p w14:paraId="3B1D9D6C">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8.</w:t>
            </w:r>
            <w:r>
              <w:rPr>
                <w:rFonts w:hint="default" w:ascii="Times New Roman" w:hAnsi="Times New Roman" w:eastAsia="仿宋_GB2312" w:cs="Times New Roman"/>
                <w:color w:val="000000"/>
                <w:spacing w:val="-4"/>
                <w:kern w:val="0"/>
                <w:sz w:val="21"/>
                <w:szCs w:val="21"/>
              </w:rPr>
              <w:t>文物保护单位的建设控制地带内建设工程设计方案批准</w:t>
            </w:r>
          </w:p>
          <w:p w14:paraId="67E8B94E">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（0100153000）</w:t>
            </w:r>
          </w:p>
        </w:tc>
        <w:tc>
          <w:tcPr>
            <w:tcW w:w="2235" w:type="dxa"/>
            <w:vAlign w:val="center"/>
          </w:tcPr>
          <w:p w14:paraId="7933F101">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9</w:t>
            </w:r>
            <w:r>
              <w:rPr>
                <w:rFonts w:hint="default" w:ascii="Times New Roman" w:hAnsi="Times New Roman" w:eastAsia="仿宋_GB2312" w:cs="Times New Roman"/>
                <w:color w:val="000000"/>
                <w:spacing w:val="-4"/>
                <w:kern w:val="0"/>
                <w:sz w:val="21"/>
                <w:szCs w:val="21"/>
              </w:rPr>
              <w:t>.文物保护单位的建设控制地带内建设工程设计方案批准</w:t>
            </w:r>
          </w:p>
          <w:p w14:paraId="4CC33259">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（0100153000）</w:t>
            </w:r>
          </w:p>
        </w:tc>
        <w:tc>
          <w:tcPr>
            <w:tcW w:w="6090" w:type="dxa"/>
            <w:vAlign w:val="center"/>
          </w:tcPr>
          <w:p w14:paraId="01441F27">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 xml:space="preserve">【法律】《中华人民共和国文物保护法》第十八条 </w:t>
            </w:r>
          </w:p>
        </w:tc>
        <w:tc>
          <w:tcPr>
            <w:tcW w:w="1605" w:type="dxa"/>
            <w:vAlign w:val="center"/>
          </w:tcPr>
          <w:p w14:paraId="04926139">
            <w:pPr>
              <w:widowControl/>
              <w:spacing w:line="260" w:lineRule="exact"/>
              <w:ind w:left="-42" w:leftChars="-20" w:right="-42" w:rightChars="-20"/>
              <w:jc w:val="center"/>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行政许可</w:t>
            </w:r>
          </w:p>
        </w:tc>
        <w:tc>
          <w:tcPr>
            <w:tcW w:w="2205" w:type="dxa"/>
            <w:vAlign w:val="center"/>
          </w:tcPr>
          <w:p w14:paraId="32B484FB">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将“在文物保护单位的建设控制地带内进行建设的审批0100479001”事项调整为内部协作事项，由自然资源部门征求文物部门意见。</w:t>
            </w:r>
          </w:p>
        </w:tc>
        <w:tc>
          <w:tcPr>
            <w:tcW w:w="1275" w:type="dxa"/>
            <w:vAlign w:val="center"/>
          </w:tcPr>
          <w:p w14:paraId="5D7377D3">
            <w:pPr>
              <w:widowControl/>
              <w:spacing w:line="260" w:lineRule="exact"/>
              <w:ind w:left="-42" w:leftChars="-20" w:right="-42" w:rightChars="-20"/>
              <w:jc w:val="center"/>
              <w:rPr>
                <w:rFonts w:hint="eastAsia"/>
                <w:vertAlign w:val="baseline"/>
                <w:lang w:val="zh-CN" w:eastAsia="zh-CN"/>
              </w:rPr>
            </w:pPr>
            <w:r>
              <w:rPr>
                <w:rFonts w:hint="eastAsia" w:ascii="Times New Roman" w:hAnsi="Times New Roman" w:eastAsia="仿宋_GB2312" w:cs="Times New Roman"/>
                <w:color w:val="000000"/>
                <w:spacing w:val="-4"/>
                <w:kern w:val="0"/>
                <w:sz w:val="21"/>
                <w:szCs w:val="21"/>
                <w:lang w:eastAsia="zh-CN"/>
              </w:rPr>
              <w:t>挂起</w:t>
            </w:r>
          </w:p>
        </w:tc>
      </w:tr>
      <w:tr w14:paraId="28690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50" w:type="dxa"/>
            <w:vAlign w:val="center"/>
          </w:tcPr>
          <w:p w14:paraId="6E15C9D1">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9.</w:t>
            </w:r>
            <w:r>
              <w:rPr>
                <w:rFonts w:hint="default" w:ascii="Times New Roman" w:hAnsi="Times New Roman" w:eastAsia="仿宋_GB2312" w:cs="Times New Roman"/>
                <w:color w:val="000000"/>
                <w:spacing w:val="-4"/>
                <w:kern w:val="0"/>
                <w:sz w:val="21"/>
                <w:szCs w:val="21"/>
              </w:rPr>
              <w:t>建设工程文物保护与考古许可</w:t>
            </w:r>
          </w:p>
          <w:p w14:paraId="61EDC7B4">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（0100479000）</w:t>
            </w:r>
          </w:p>
        </w:tc>
        <w:tc>
          <w:tcPr>
            <w:tcW w:w="2235" w:type="dxa"/>
            <w:vAlign w:val="center"/>
          </w:tcPr>
          <w:p w14:paraId="4B2AD3C0">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10</w:t>
            </w:r>
            <w:r>
              <w:rPr>
                <w:rFonts w:hint="default" w:ascii="Times New Roman" w:hAnsi="Times New Roman" w:eastAsia="仿宋_GB2312" w:cs="Times New Roman"/>
                <w:color w:val="000000"/>
                <w:spacing w:val="-4"/>
                <w:kern w:val="0"/>
                <w:sz w:val="21"/>
                <w:szCs w:val="21"/>
              </w:rPr>
              <w:t>.建设工程文物保护与考古许可</w:t>
            </w:r>
          </w:p>
          <w:p w14:paraId="37BBFF83">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（0100479000）</w:t>
            </w:r>
          </w:p>
        </w:tc>
        <w:tc>
          <w:tcPr>
            <w:tcW w:w="6090" w:type="dxa"/>
            <w:vAlign w:val="center"/>
          </w:tcPr>
          <w:p w14:paraId="0B77B3A2">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【法律】《中华人民共和国文物保护法》第十七条、第二十九条 </w:t>
            </w:r>
          </w:p>
          <w:p w14:paraId="7B9DCF64">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【地方性法规】《江苏省文物保护条例》 第二十条</w:t>
            </w:r>
          </w:p>
        </w:tc>
        <w:tc>
          <w:tcPr>
            <w:tcW w:w="1605" w:type="dxa"/>
            <w:vAlign w:val="center"/>
          </w:tcPr>
          <w:p w14:paraId="59B8BD3C">
            <w:pPr>
              <w:widowControl/>
              <w:spacing w:line="260" w:lineRule="exact"/>
              <w:ind w:left="-42" w:leftChars="-20" w:right="-42" w:rightChars="-20"/>
              <w:jc w:val="center"/>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行政许可</w:t>
            </w:r>
          </w:p>
        </w:tc>
        <w:tc>
          <w:tcPr>
            <w:tcW w:w="2205" w:type="dxa"/>
            <w:vAlign w:val="center"/>
          </w:tcPr>
          <w:p w14:paraId="0209242E">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“在文物保护单位的保护范围内进行建设的审批0100479002”与“大型基本建设工程（考古调查、勘探）”合并为“建设工程文物保护与考古许可0100479000”。</w:t>
            </w:r>
          </w:p>
        </w:tc>
        <w:tc>
          <w:tcPr>
            <w:tcW w:w="1275" w:type="dxa"/>
            <w:vAlign w:val="center"/>
          </w:tcPr>
          <w:p w14:paraId="1876592A">
            <w:pPr>
              <w:widowControl/>
              <w:spacing w:line="260" w:lineRule="exact"/>
              <w:ind w:left="-42" w:leftChars="-20" w:right="-42" w:rightChars="-20"/>
              <w:jc w:val="center"/>
              <w:rPr>
                <w:rFonts w:hint="eastAsia"/>
                <w:vertAlign w:val="baseline"/>
                <w:lang w:val="zh-CN" w:eastAsia="zh-CN"/>
              </w:rPr>
            </w:pPr>
            <w:r>
              <w:rPr>
                <w:rFonts w:hint="eastAsia" w:ascii="Times New Roman" w:hAnsi="Times New Roman" w:eastAsia="仿宋_GB2312" w:cs="Times New Roman"/>
                <w:color w:val="000000"/>
                <w:spacing w:val="-4"/>
                <w:kern w:val="0"/>
                <w:sz w:val="21"/>
                <w:szCs w:val="21"/>
                <w:lang w:eastAsia="zh-CN"/>
              </w:rPr>
              <w:t>挂起</w:t>
            </w:r>
          </w:p>
        </w:tc>
      </w:tr>
      <w:tr w14:paraId="428F0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50" w:type="dxa"/>
            <w:vMerge w:val="restart"/>
            <w:vAlign w:val="center"/>
          </w:tcPr>
          <w:p w14:paraId="17562E6B">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10</w:t>
            </w:r>
            <w:r>
              <w:rPr>
                <w:rFonts w:hint="default" w:ascii="Times New Roman" w:hAnsi="Times New Roman" w:eastAsia="仿宋_GB2312" w:cs="Times New Roman"/>
                <w:color w:val="000000"/>
                <w:spacing w:val="-4"/>
                <w:kern w:val="0"/>
                <w:sz w:val="21"/>
                <w:szCs w:val="21"/>
              </w:rPr>
              <w:t>.市政设施建设类审批</w:t>
            </w:r>
          </w:p>
          <w:p w14:paraId="24D0FCF2">
            <w:pPr>
              <w:widowControl/>
              <w:spacing w:line="260" w:lineRule="exact"/>
              <w:ind w:left="-42" w:leftChars="-20" w:right="-42" w:rightChars="-20"/>
              <w:rPr>
                <w:rFonts w:hint="eastAsia" w:ascii="Times New Roman" w:hAnsi="Times New Roman" w:eastAsia="仿宋_GB2312" w:cs="Times New Roman"/>
                <w:color w:val="000000"/>
                <w:spacing w:val="-4"/>
                <w:kern w:val="0"/>
                <w:sz w:val="21"/>
                <w:szCs w:val="21"/>
                <w:lang w:val="zh-CN" w:eastAsia="zh-CN" w:bidi="zh-CN"/>
              </w:rPr>
            </w:pPr>
            <w:r>
              <w:rPr>
                <w:rFonts w:hint="default" w:ascii="Times New Roman" w:hAnsi="Times New Roman" w:eastAsia="仿宋_GB2312" w:cs="Times New Roman"/>
                <w:color w:val="000000"/>
                <w:spacing w:val="-4"/>
                <w:kern w:val="0"/>
                <w:sz w:val="21"/>
                <w:szCs w:val="21"/>
              </w:rPr>
              <w:t>（0100166000）</w:t>
            </w:r>
          </w:p>
        </w:tc>
        <w:tc>
          <w:tcPr>
            <w:tcW w:w="2235" w:type="dxa"/>
            <w:vAlign w:val="center"/>
          </w:tcPr>
          <w:p w14:paraId="6C44098E">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11</w:t>
            </w:r>
            <w:r>
              <w:rPr>
                <w:rFonts w:hint="default" w:ascii="Times New Roman" w:hAnsi="Times New Roman" w:eastAsia="仿宋_GB2312" w:cs="Times New Roman"/>
                <w:color w:val="000000"/>
                <w:spacing w:val="-4"/>
                <w:kern w:val="0"/>
                <w:sz w:val="21"/>
                <w:szCs w:val="21"/>
              </w:rPr>
              <w:t>.同意在城市桥梁施工控制范围内从事河道疏浚、挖掘、打桩、地下管道顶进、爆破等作业</w:t>
            </w:r>
          </w:p>
          <w:p w14:paraId="062D77AD">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（1000248000）</w:t>
            </w:r>
          </w:p>
        </w:tc>
        <w:tc>
          <w:tcPr>
            <w:tcW w:w="6090" w:type="dxa"/>
            <w:vAlign w:val="center"/>
          </w:tcPr>
          <w:p w14:paraId="35C2D80F">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 xml:space="preserve">【规章】《城市桥梁检测和养护维修管理办法》（建设部令第118号）第十四条第二款  </w:t>
            </w:r>
          </w:p>
        </w:tc>
        <w:tc>
          <w:tcPr>
            <w:tcW w:w="1605" w:type="dxa"/>
            <w:vAlign w:val="center"/>
          </w:tcPr>
          <w:p w14:paraId="4C30C0E3">
            <w:pPr>
              <w:widowControl/>
              <w:spacing w:line="260" w:lineRule="exact"/>
              <w:ind w:left="-42" w:leftChars="-20" w:right="-42" w:rightChars="-20"/>
              <w:jc w:val="center"/>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其他</w:t>
            </w:r>
          </w:p>
        </w:tc>
        <w:tc>
          <w:tcPr>
            <w:tcW w:w="2205" w:type="dxa"/>
            <w:vAlign w:val="center"/>
          </w:tcPr>
          <w:p w14:paraId="1EE8AA2A">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列为“市政设施建设类审批”事项子项。</w:t>
            </w:r>
          </w:p>
        </w:tc>
        <w:tc>
          <w:tcPr>
            <w:tcW w:w="1275" w:type="dxa"/>
            <w:vAlign w:val="center"/>
          </w:tcPr>
          <w:p w14:paraId="71542034">
            <w:pPr>
              <w:widowControl/>
              <w:spacing w:line="260" w:lineRule="exact"/>
              <w:ind w:left="-42" w:leftChars="-20" w:right="-42" w:rightChars="-20"/>
              <w:jc w:val="center"/>
              <w:rPr>
                <w:rFonts w:hint="eastAsia"/>
                <w:vertAlign w:val="baseline"/>
                <w:lang w:val="zh-CN" w:eastAsia="zh-CN"/>
              </w:rPr>
            </w:pPr>
            <w:r>
              <w:rPr>
                <w:rFonts w:hint="eastAsia" w:ascii="Times New Roman" w:hAnsi="Times New Roman" w:eastAsia="仿宋_GB2312" w:cs="Times New Roman"/>
                <w:color w:val="000000"/>
                <w:spacing w:val="-4"/>
                <w:kern w:val="0"/>
                <w:sz w:val="21"/>
                <w:szCs w:val="21"/>
                <w:lang w:eastAsia="zh-CN"/>
              </w:rPr>
              <w:t>挂起</w:t>
            </w:r>
          </w:p>
        </w:tc>
      </w:tr>
      <w:tr w14:paraId="01F59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50" w:type="dxa"/>
            <w:vMerge w:val="continue"/>
            <w:vAlign w:val="top"/>
          </w:tcPr>
          <w:p w14:paraId="433BFB03">
            <w:pPr>
              <w:numPr>
                <w:ilvl w:val="0"/>
                <w:numId w:val="0"/>
              </w:numPr>
              <w:tabs>
                <w:tab w:val="left" w:pos="829"/>
              </w:tabs>
              <w:bidi w:val="0"/>
              <w:jc w:val="left"/>
              <w:rPr>
                <w:rFonts w:hint="eastAsia"/>
                <w:vertAlign w:val="baseline"/>
                <w:lang w:val="zh-CN" w:eastAsia="zh-CN"/>
              </w:rPr>
            </w:pPr>
          </w:p>
        </w:tc>
        <w:tc>
          <w:tcPr>
            <w:tcW w:w="2235" w:type="dxa"/>
            <w:vAlign w:val="center"/>
          </w:tcPr>
          <w:p w14:paraId="660089CE">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12</w:t>
            </w:r>
            <w:r>
              <w:rPr>
                <w:rFonts w:hint="default" w:ascii="Times New Roman" w:hAnsi="Times New Roman" w:eastAsia="仿宋_GB2312" w:cs="Times New Roman"/>
                <w:color w:val="000000"/>
                <w:spacing w:val="-4"/>
                <w:kern w:val="0"/>
                <w:sz w:val="21"/>
                <w:szCs w:val="21"/>
              </w:rPr>
              <w:t>.拆除、移动城镇排水与污水处理设施方案审核</w:t>
            </w:r>
          </w:p>
          <w:p w14:paraId="003E8224">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（0100163002）</w:t>
            </w:r>
          </w:p>
        </w:tc>
        <w:tc>
          <w:tcPr>
            <w:tcW w:w="6090" w:type="dxa"/>
            <w:vAlign w:val="center"/>
          </w:tcPr>
          <w:p w14:paraId="175D861B">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 xml:space="preserve">【行政法规】《城镇排水与污水处理条例》（国务院令第641号）第四十三条第四款 </w:t>
            </w:r>
          </w:p>
        </w:tc>
        <w:tc>
          <w:tcPr>
            <w:tcW w:w="1605" w:type="dxa"/>
            <w:vAlign w:val="center"/>
          </w:tcPr>
          <w:p w14:paraId="446C32EC">
            <w:pPr>
              <w:widowControl/>
              <w:spacing w:line="260" w:lineRule="exact"/>
              <w:ind w:left="-42" w:leftChars="-20" w:right="-42" w:rightChars="-20"/>
              <w:jc w:val="center"/>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行政许可</w:t>
            </w:r>
          </w:p>
        </w:tc>
        <w:tc>
          <w:tcPr>
            <w:tcW w:w="2205" w:type="dxa"/>
            <w:vAlign w:val="center"/>
          </w:tcPr>
          <w:p w14:paraId="77D307EA">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列为“市政设施建设类审批”事项子项。</w:t>
            </w:r>
          </w:p>
        </w:tc>
        <w:tc>
          <w:tcPr>
            <w:tcW w:w="1275" w:type="dxa"/>
            <w:vAlign w:val="center"/>
          </w:tcPr>
          <w:p w14:paraId="75B03904">
            <w:pPr>
              <w:widowControl/>
              <w:spacing w:line="260" w:lineRule="exact"/>
              <w:ind w:left="-42" w:leftChars="-20" w:right="-42" w:rightChars="-20"/>
              <w:jc w:val="center"/>
              <w:rPr>
                <w:rFonts w:hint="eastAsia"/>
                <w:vertAlign w:val="baseline"/>
                <w:lang w:val="zh-CN" w:eastAsia="zh-CN"/>
              </w:rPr>
            </w:pPr>
            <w:r>
              <w:rPr>
                <w:rFonts w:hint="eastAsia" w:ascii="Times New Roman" w:hAnsi="Times New Roman" w:eastAsia="仿宋_GB2312" w:cs="Times New Roman"/>
                <w:color w:val="000000"/>
                <w:spacing w:val="-4"/>
                <w:kern w:val="0"/>
                <w:sz w:val="21"/>
                <w:szCs w:val="21"/>
                <w:lang w:eastAsia="zh-CN"/>
              </w:rPr>
              <w:t>挂起</w:t>
            </w:r>
          </w:p>
        </w:tc>
      </w:tr>
      <w:tr w14:paraId="583AF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50" w:type="dxa"/>
            <w:vMerge w:val="continue"/>
            <w:vAlign w:val="top"/>
          </w:tcPr>
          <w:p w14:paraId="1EE1817F">
            <w:pPr>
              <w:numPr>
                <w:ilvl w:val="0"/>
                <w:numId w:val="0"/>
              </w:numPr>
              <w:tabs>
                <w:tab w:val="left" w:pos="829"/>
              </w:tabs>
              <w:bidi w:val="0"/>
              <w:jc w:val="left"/>
              <w:rPr>
                <w:rFonts w:hint="eastAsia"/>
                <w:vertAlign w:val="baseline"/>
                <w:lang w:val="zh-CN" w:eastAsia="zh-CN"/>
              </w:rPr>
            </w:pPr>
          </w:p>
        </w:tc>
        <w:tc>
          <w:tcPr>
            <w:tcW w:w="2235" w:type="dxa"/>
            <w:vAlign w:val="center"/>
          </w:tcPr>
          <w:p w14:paraId="29C8AB91">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13</w:t>
            </w:r>
            <w:r>
              <w:rPr>
                <w:rFonts w:hint="default" w:ascii="Times New Roman" w:hAnsi="Times New Roman" w:eastAsia="仿宋_GB2312" w:cs="Times New Roman"/>
                <w:color w:val="000000"/>
                <w:spacing w:val="-4"/>
                <w:kern w:val="0"/>
                <w:sz w:val="21"/>
                <w:szCs w:val="21"/>
              </w:rPr>
              <w:t>.因建设确需改装、拆除或者迁移城市公共供水设施审批</w:t>
            </w:r>
          </w:p>
          <w:p w14:paraId="0C5EE9B3">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（0100163001）</w:t>
            </w:r>
          </w:p>
        </w:tc>
        <w:tc>
          <w:tcPr>
            <w:tcW w:w="6090" w:type="dxa"/>
            <w:vAlign w:val="center"/>
          </w:tcPr>
          <w:p w14:paraId="5068D52F">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 xml:space="preserve">【行政法规】《城市供水条例》（国务院令第158号）第三十条 </w:t>
            </w:r>
          </w:p>
        </w:tc>
        <w:tc>
          <w:tcPr>
            <w:tcW w:w="1605" w:type="dxa"/>
            <w:vAlign w:val="center"/>
          </w:tcPr>
          <w:p w14:paraId="3078EDAA">
            <w:pPr>
              <w:widowControl/>
              <w:spacing w:line="260" w:lineRule="exact"/>
              <w:ind w:left="-42" w:leftChars="-20" w:right="-42" w:rightChars="-20"/>
              <w:jc w:val="center"/>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行政许可</w:t>
            </w:r>
          </w:p>
        </w:tc>
        <w:tc>
          <w:tcPr>
            <w:tcW w:w="2205" w:type="dxa"/>
            <w:vAlign w:val="center"/>
          </w:tcPr>
          <w:p w14:paraId="1EB275EE">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1.将“城市规划主管部门对因工程建设确需改装、拆除或者迁移城市公共供水设施的审批0100508000”调整为内部协作事项，由供水部门征求自然资源部门意见；</w:t>
            </w:r>
          </w:p>
          <w:p w14:paraId="6FDB77D3">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2.列为“市政设施建设类审批”事项子项。</w:t>
            </w:r>
          </w:p>
        </w:tc>
        <w:tc>
          <w:tcPr>
            <w:tcW w:w="1275" w:type="dxa"/>
            <w:vAlign w:val="center"/>
          </w:tcPr>
          <w:p w14:paraId="7B4B3469">
            <w:pPr>
              <w:widowControl/>
              <w:spacing w:line="260" w:lineRule="exact"/>
              <w:ind w:left="-42" w:leftChars="-20" w:right="-42" w:rightChars="-20"/>
              <w:jc w:val="center"/>
              <w:rPr>
                <w:rFonts w:hint="eastAsia"/>
                <w:vertAlign w:val="baseline"/>
                <w:lang w:val="zh-CN" w:eastAsia="zh-CN"/>
              </w:rPr>
            </w:pPr>
            <w:r>
              <w:rPr>
                <w:rFonts w:hint="eastAsia" w:ascii="Times New Roman" w:hAnsi="Times New Roman" w:eastAsia="仿宋_GB2312" w:cs="Times New Roman"/>
                <w:color w:val="000000"/>
                <w:spacing w:val="-4"/>
                <w:kern w:val="0"/>
                <w:sz w:val="21"/>
                <w:szCs w:val="21"/>
                <w:lang w:eastAsia="zh-CN"/>
              </w:rPr>
              <w:t>挂起</w:t>
            </w:r>
          </w:p>
        </w:tc>
      </w:tr>
      <w:tr w14:paraId="69C06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50" w:type="dxa"/>
            <w:vMerge w:val="continue"/>
            <w:vAlign w:val="top"/>
          </w:tcPr>
          <w:p w14:paraId="109983E2">
            <w:pPr>
              <w:numPr>
                <w:ilvl w:val="0"/>
                <w:numId w:val="0"/>
              </w:numPr>
              <w:tabs>
                <w:tab w:val="left" w:pos="829"/>
              </w:tabs>
              <w:bidi w:val="0"/>
              <w:jc w:val="left"/>
              <w:rPr>
                <w:rFonts w:hint="eastAsia"/>
                <w:vertAlign w:val="baseline"/>
                <w:lang w:val="zh-CN" w:eastAsia="zh-CN"/>
              </w:rPr>
            </w:pPr>
          </w:p>
        </w:tc>
        <w:tc>
          <w:tcPr>
            <w:tcW w:w="2235" w:type="dxa"/>
            <w:vAlign w:val="center"/>
          </w:tcPr>
          <w:p w14:paraId="6FF6BFB1">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14</w:t>
            </w:r>
            <w:r>
              <w:rPr>
                <w:rFonts w:hint="default" w:ascii="Times New Roman" w:hAnsi="Times New Roman" w:eastAsia="仿宋_GB2312" w:cs="Times New Roman"/>
                <w:color w:val="000000"/>
                <w:spacing w:val="-4"/>
                <w:kern w:val="0"/>
                <w:sz w:val="21"/>
                <w:szCs w:val="21"/>
              </w:rPr>
              <w:t>.燃气设施改装、迁移或者拆除审批</w:t>
            </w:r>
          </w:p>
          <w:p w14:paraId="12B9906C">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（0100161003）</w:t>
            </w:r>
          </w:p>
        </w:tc>
        <w:tc>
          <w:tcPr>
            <w:tcW w:w="6090" w:type="dxa"/>
            <w:vAlign w:val="center"/>
          </w:tcPr>
          <w:p w14:paraId="4B558ADC">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【行政法规】《国务院对确需保留的行政审批项目设定行政许可的决定》（国务院令第412号公布，国务院令第671号修改）</w:t>
            </w:r>
          </w:p>
          <w:p w14:paraId="052F2434">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第104项</w:t>
            </w:r>
          </w:p>
          <w:p w14:paraId="6B24E5DF">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【行政法规】《城镇燃气管理条例》（国务院令第583号）第三十八条</w:t>
            </w:r>
          </w:p>
          <w:p w14:paraId="44B80DAC">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 xml:space="preserve">【地方性法规】《江苏省燃气管理条例》第三条、第四十四条 </w:t>
            </w:r>
          </w:p>
        </w:tc>
        <w:tc>
          <w:tcPr>
            <w:tcW w:w="1605" w:type="dxa"/>
            <w:vAlign w:val="center"/>
          </w:tcPr>
          <w:p w14:paraId="305E343B">
            <w:pPr>
              <w:widowControl/>
              <w:spacing w:line="260" w:lineRule="exact"/>
              <w:ind w:left="-42" w:leftChars="-20" w:right="-42" w:rightChars="-20"/>
              <w:jc w:val="center"/>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行政许可</w:t>
            </w:r>
          </w:p>
        </w:tc>
        <w:tc>
          <w:tcPr>
            <w:tcW w:w="2205" w:type="dxa"/>
            <w:vAlign w:val="center"/>
          </w:tcPr>
          <w:p w14:paraId="4BE0C058">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列为“市政设施建设类审批”事项子项。</w:t>
            </w:r>
          </w:p>
        </w:tc>
        <w:tc>
          <w:tcPr>
            <w:tcW w:w="1275" w:type="dxa"/>
            <w:vAlign w:val="center"/>
          </w:tcPr>
          <w:p w14:paraId="531DAF8D">
            <w:pPr>
              <w:widowControl/>
              <w:spacing w:line="260" w:lineRule="exact"/>
              <w:ind w:left="-42" w:leftChars="-20" w:right="-42" w:rightChars="-20"/>
              <w:jc w:val="center"/>
              <w:rPr>
                <w:rFonts w:hint="eastAsia"/>
                <w:vertAlign w:val="baseline"/>
                <w:lang w:val="zh-CN" w:eastAsia="zh-CN"/>
              </w:rPr>
            </w:pPr>
            <w:r>
              <w:rPr>
                <w:rFonts w:hint="eastAsia" w:ascii="Times New Roman" w:hAnsi="Times New Roman" w:eastAsia="仿宋_GB2312" w:cs="Times New Roman"/>
                <w:color w:val="000000"/>
                <w:spacing w:val="-4"/>
                <w:kern w:val="0"/>
                <w:sz w:val="21"/>
                <w:szCs w:val="21"/>
                <w:lang w:eastAsia="zh-CN"/>
              </w:rPr>
              <w:t>挂起</w:t>
            </w:r>
          </w:p>
        </w:tc>
      </w:tr>
      <w:tr w14:paraId="041E8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50" w:type="dxa"/>
            <w:vAlign w:val="center"/>
          </w:tcPr>
          <w:p w14:paraId="4D78C7B6">
            <w:pPr>
              <w:widowControl/>
              <w:spacing w:line="260" w:lineRule="exact"/>
              <w:ind w:left="-42" w:leftChars="-20" w:right="-42" w:rightChars="-20"/>
              <w:rPr>
                <w:rFonts w:hint="eastAsia"/>
                <w:vertAlign w:val="baseline"/>
                <w:lang w:val="zh-CN" w:eastAsia="zh-CN"/>
              </w:rPr>
            </w:pPr>
            <w:r>
              <w:rPr>
                <w:rFonts w:hint="eastAsia" w:ascii="Times New Roman" w:hAnsi="Times New Roman" w:eastAsia="仿宋_GB2312" w:cs="Times New Roman"/>
                <w:color w:val="000000"/>
                <w:spacing w:val="-4"/>
                <w:kern w:val="0"/>
                <w:sz w:val="21"/>
                <w:szCs w:val="21"/>
                <w:lang w:val="en-US" w:eastAsia="zh-CN"/>
              </w:rPr>
              <w:t>11</w:t>
            </w:r>
            <w:r>
              <w:rPr>
                <w:rFonts w:hint="default" w:ascii="Times New Roman" w:hAnsi="Times New Roman" w:eastAsia="仿宋_GB2312" w:cs="Times New Roman"/>
                <w:color w:val="000000"/>
                <w:spacing w:val="-4"/>
                <w:kern w:val="0"/>
                <w:sz w:val="21"/>
                <w:szCs w:val="21"/>
              </w:rPr>
              <w:t>.地质灾害危险性评估</w:t>
            </w:r>
          </w:p>
        </w:tc>
        <w:tc>
          <w:tcPr>
            <w:tcW w:w="2235" w:type="dxa"/>
            <w:vAlign w:val="center"/>
          </w:tcPr>
          <w:p w14:paraId="4137935F">
            <w:pPr>
              <w:widowControl/>
              <w:spacing w:line="260" w:lineRule="exact"/>
              <w:ind w:left="-42" w:leftChars="-20" w:right="-42" w:rightChars="-20"/>
              <w:rPr>
                <w:rFonts w:hint="eastAsia"/>
                <w:vertAlign w:val="baseline"/>
                <w:lang w:val="zh-CN" w:eastAsia="zh-CN"/>
              </w:rPr>
            </w:pPr>
            <w:r>
              <w:rPr>
                <w:rFonts w:hint="eastAsia" w:ascii="Times New Roman" w:hAnsi="Times New Roman" w:eastAsia="仿宋_GB2312" w:cs="Times New Roman"/>
                <w:color w:val="000000"/>
                <w:spacing w:val="-4"/>
                <w:kern w:val="0"/>
                <w:sz w:val="21"/>
                <w:szCs w:val="21"/>
                <w:lang w:val="en-US" w:eastAsia="zh-CN"/>
              </w:rPr>
              <w:t>15</w:t>
            </w:r>
            <w:r>
              <w:rPr>
                <w:rFonts w:hint="default" w:ascii="Times New Roman" w:hAnsi="Times New Roman" w:eastAsia="仿宋_GB2312" w:cs="Times New Roman"/>
                <w:color w:val="000000"/>
                <w:spacing w:val="-4"/>
                <w:kern w:val="0"/>
                <w:sz w:val="21"/>
                <w:szCs w:val="21"/>
              </w:rPr>
              <w:t>.地质灾害危险性评估</w:t>
            </w:r>
          </w:p>
        </w:tc>
        <w:tc>
          <w:tcPr>
            <w:tcW w:w="6090" w:type="dxa"/>
            <w:vAlign w:val="center"/>
          </w:tcPr>
          <w:p w14:paraId="20741B30">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 xml:space="preserve">【行政法规】《地质灾害防治条例》（国务院令第394号公布）第二十一条 </w:t>
            </w:r>
          </w:p>
        </w:tc>
        <w:tc>
          <w:tcPr>
            <w:tcW w:w="1605" w:type="dxa"/>
            <w:vAlign w:val="center"/>
          </w:tcPr>
          <w:p w14:paraId="7B13F37E">
            <w:pPr>
              <w:widowControl/>
              <w:spacing w:line="260" w:lineRule="exact"/>
              <w:ind w:left="-42" w:leftChars="-20" w:right="-42" w:rightChars="-20"/>
              <w:jc w:val="center"/>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强制性评估和中介事项</w:t>
            </w:r>
          </w:p>
        </w:tc>
        <w:tc>
          <w:tcPr>
            <w:tcW w:w="2205" w:type="dxa"/>
            <w:vAlign w:val="center"/>
          </w:tcPr>
          <w:p w14:paraId="1BE754AB">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实行区域评估的地区，由自然资源部门主动向公众提供查询。</w:t>
            </w:r>
          </w:p>
        </w:tc>
        <w:tc>
          <w:tcPr>
            <w:tcW w:w="1275" w:type="dxa"/>
            <w:vAlign w:val="center"/>
          </w:tcPr>
          <w:p w14:paraId="67E5C189">
            <w:pPr>
              <w:widowControl/>
              <w:spacing w:line="260" w:lineRule="exact"/>
              <w:ind w:left="-42" w:leftChars="-20" w:right="-42" w:rightChars="-20"/>
              <w:jc w:val="center"/>
              <w:rPr>
                <w:rFonts w:hint="eastAsia"/>
                <w:vertAlign w:val="baseline"/>
                <w:lang w:val="zh-CN" w:eastAsia="zh-CN"/>
              </w:rPr>
            </w:pPr>
            <w:r>
              <w:rPr>
                <w:rFonts w:hint="eastAsia" w:ascii="Times New Roman" w:hAnsi="Times New Roman" w:eastAsia="仿宋_GB2312" w:cs="Times New Roman"/>
                <w:color w:val="000000"/>
                <w:spacing w:val="-4"/>
                <w:kern w:val="0"/>
                <w:sz w:val="21"/>
                <w:szCs w:val="21"/>
                <w:lang w:eastAsia="zh-CN"/>
              </w:rPr>
              <w:t>挂起</w:t>
            </w:r>
          </w:p>
        </w:tc>
      </w:tr>
      <w:tr w14:paraId="6C05C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50" w:type="dxa"/>
            <w:vAlign w:val="center"/>
          </w:tcPr>
          <w:p w14:paraId="4C14CD04">
            <w:pPr>
              <w:widowControl/>
              <w:spacing w:line="260" w:lineRule="exact"/>
              <w:ind w:left="-42" w:leftChars="-20" w:right="-42" w:rightChars="-20"/>
              <w:rPr>
                <w:rFonts w:hint="eastAsia"/>
                <w:vertAlign w:val="baseline"/>
                <w:lang w:val="zh-CN" w:eastAsia="zh-CN"/>
              </w:rPr>
            </w:pPr>
            <w:r>
              <w:rPr>
                <w:rFonts w:hint="eastAsia" w:ascii="Times New Roman" w:hAnsi="Times New Roman" w:eastAsia="仿宋_GB2312" w:cs="Times New Roman"/>
                <w:color w:val="000000"/>
                <w:spacing w:val="-4"/>
                <w:kern w:val="0"/>
                <w:sz w:val="21"/>
                <w:szCs w:val="21"/>
                <w:lang w:val="en-US" w:eastAsia="zh-CN"/>
              </w:rPr>
              <w:t>12</w:t>
            </w:r>
            <w:r>
              <w:rPr>
                <w:rFonts w:hint="default" w:ascii="Times New Roman" w:hAnsi="Times New Roman" w:eastAsia="仿宋_GB2312" w:cs="Times New Roman"/>
                <w:color w:val="000000"/>
                <w:spacing w:val="-4"/>
                <w:kern w:val="0"/>
                <w:sz w:val="21"/>
                <w:szCs w:val="21"/>
              </w:rPr>
              <w:t>.建设项目安全评价</w:t>
            </w:r>
          </w:p>
        </w:tc>
        <w:tc>
          <w:tcPr>
            <w:tcW w:w="2235" w:type="dxa"/>
            <w:vAlign w:val="center"/>
          </w:tcPr>
          <w:p w14:paraId="0568E7DA">
            <w:pPr>
              <w:widowControl/>
              <w:spacing w:line="260" w:lineRule="exact"/>
              <w:ind w:left="-42" w:leftChars="-20" w:right="-42" w:rightChars="-20"/>
              <w:rPr>
                <w:rFonts w:hint="eastAsia"/>
                <w:vertAlign w:val="baseline"/>
                <w:lang w:val="zh-CN" w:eastAsia="zh-CN"/>
              </w:rPr>
            </w:pPr>
            <w:r>
              <w:rPr>
                <w:rFonts w:hint="eastAsia" w:ascii="Times New Roman" w:hAnsi="Times New Roman" w:eastAsia="仿宋_GB2312" w:cs="Times New Roman"/>
                <w:color w:val="000000"/>
                <w:spacing w:val="-4"/>
                <w:kern w:val="0"/>
                <w:sz w:val="21"/>
                <w:szCs w:val="21"/>
                <w:lang w:val="en-US" w:eastAsia="zh-CN"/>
              </w:rPr>
              <w:t>16</w:t>
            </w:r>
            <w:r>
              <w:rPr>
                <w:rFonts w:hint="default" w:ascii="Times New Roman" w:hAnsi="Times New Roman" w:eastAsia="仿宋_GB2312" w:cs="Times New Roman"/>
                <w:color w:val="000000"/>
                <w:spacing w:val="-4"/>
                <w:kern w:val="0"/>
                <w:sz w:val="21"/>
                <w:szCs w:val="21"/>
              </w:rPr>
              <w:t>.建设项目安全评价</w:t>
            </w:r>
          </w:p>
        </w:tc>
        <w:tc>
          <w:tcPr>
            <w:tcW w:w="6090" w:type="dxa"/>
            <w:vAlign w:val="center"/>
          </w:tcPr>
          <w:p w14:paraId="42275BF5">
            <w:pPr>
              <w:widowControl/>
              <w:spacing w:line="24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【法律】《中华人民共和国安全生产法》第二十九条  </w:t>
            </w:r>
          </w:p>
          <w:p w14:paraId="277BA1AC">
            <w:pPr>
              <w:widowControl/>
              <w:spacing w:line="24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 xml:space="preserve">【部门规章】《建设项目安全设施“三同时”监督管理办法》（国家安全监管总局令第36号公布，国家安全监管总局令第77号修正）第七条、第八条、第二十二条 </w:t>
            </w:r>
          </w:p>
        </w:tc>
        <w:tc>
          <w:tcPr>
            <w:tcW w:w="1605" w:type="dxa"/>
            <w:vAlign w:val="center"/>
          </w:tcPr>
          <w:p w14:paraId="015A2834">
            <w:pPr>
              <w:widowControl/>
              <w:spacing w:line="260" w:lineRule="exact"/>
              <w:ind w:left="-42" w:leftChars="-20" w:right="-42" w:rightChars="-20"/>
              <w:jc w:val="center"/>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强制性评估和中介事项</w:t>
            </w:r>
          </w:p>
        </w:tc>
        <w:tc>
          <w:tcPr>
            <w:tcW w:w="2205" w:type="dxa"/>
            <w:vAlign w:val="center"/>
          </w:tcPr>
          <w:p w14:paraId="0E1CD90D">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　</w:t>
            </w:r>
          </w:p>
        </w:tc>
        <w:tc>
          <w:tcPr>
            <w:tcW w:w="1275" w:type="dxa"/>
            <w:vAlign w:val="center"/>
          </w:tcPr>
          <w:p w14:paraId="34D107EC">
            <w:pPr>
              <w:widowControl/>
              <w:spacing w:line="260" w:lineRule="exact"/>
              <w:ind w:left="-42" w:leftChars="-20" w:right="-42" w:rightChars="-20"/>
              <w:jc w:val="center"/>
              <w:rPr>
                <w:rFonts w:hint="eastAsia"/>
                <w:vertAlign w:val="baseline"/>
                <w:lang w:val="zh-CN" w:eastAsia="zh-CN"/>
              </w:rPr>
            </w:pPr>
            <w:r>
              <w:rPr>
                <w:rFonts w:hint="eastAsia" w:ascii="Times New Roman" w:hAnsi="Times New Roman" w:eastAsia="仿宋_GB2312" w:cs="Times New Roman"/>
                <w:color w:val="000000"/>
                <w:spacing w:val="-4"/>
                <w:kern w:val="0"/>
                <w:sz w:val="21"/>
                <w:szCs w:val="21"/>
                <w:lang w:eastAsia="zh-CN"/>
              </w:rPr>
              <w:t>挂起</w:t>
            </w:r>
          </w:p>
        </w:tc>
      </w:tr>
      <w:tr w14:paraId="56C11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50" w:type="dxa"/>
            <w:vAlign w:val="center"/>
          </w:tcPr>
          <w:p w14:paraId="25DE095F">
            <w:pPr>
              <w:widowControl/>
              <w:spacing w:line="260" w:lineRule="exact"/>
              <w:ind w:left="-42" w:leftChars="-20" w:right="-42" w:rightChars="-20"/>
              <w:rPr>
                <w:rFonts w:hint="eastAsia"/>
                <w:vertAlign w:val="baseline"/>
                <w:lang w:val="zh-CN" w:eastAsia="zh-CN"/>
              </w:rPr>
            </w:pPr>
            <w:r>
              <w:rPr>
                <w:rFonts w:hint="eastAsia" w:ascii="Times New Roman" w:hAnsi="Times New Roman" w:eastAsia="仿宋_GB2312" w:cs="Times New Roman"/>
                <w:color w:val="000000"/>
                <w:spacing w:val="-4"/>
                <w:kern w:val="0"/>
                <w:sz w:val="21"/>
                <w:szCs w:val="21"/>
                <w:lang w:val="en-US" w:eastAsia="zh-CN"/>
              </w:rPr>
              <w:t>13</w:t>
            </w:r>
            <w:r>
              <w:rPr>
                <w:rFonts w:hint="default" w:ascii="Times New Roman" w:hAnsi="Times New Roman" w:eastAsia="仿宋_GB2312" w:cs="Times New Roman"/>
                <w:color w:val="000000"/>
                <w:spacing w:val="-4"/>
                <w:kern w:val="0"/>
                <w:sz w:val="21"/>
                <w:szCs w:val="21"/>
              </w:rPr>
              <w:t>.地震安全性评价</w:t>
            </w:r>
          </w:p>
        </w:tc>
        <w:tc>
          <w:tcPr>
            <w:tcW w:w="2235" w:type="dxa"/>
            <w:vAlign w:val="center"/>
          </w:tcPr>
          <w:p w14:paraId="0FE38825">
            <w:pPr>
              <w:widowControl/>
              <w:spacing w:line="260" w:lineRule="exact"/>
              <w:ind w:left="-42" w:leftChars="-20" w:right="-42" w:rightChars="-20"/>
              <w:rPr>
                <w:rFonts w:hint="eastAsia"/>
                <w:vertAlign w:val="baseline"/>
                <w:lang w:val="zh-CN" w:eastAsia="zh-CN"/>
              </w:rPr>
            </w:pPr>
            <w:r>
              <w:rPr>
                <w:rFonts w:hint="eastAsia" w:ascii="Times New Roman" w:hAnsi="Times New Roman" w:eastAsia="仿宋_GB2312" w:cs="Times New Roman"/>
                <w:color w:val="000000"/>
                <w:spacing w:val="-4"/>
                <w:kern w:val="0"/>
                <w:sz w:val="21"/>
                <w:szCs w:val="21"/>
                <w:lang w:val="en-US" w:eastAsia="zh-CN"/>
              </w:rPr>
              <w:t>17</w:t>
            </w:r>
            <w:r>
              <w:rPr>
                <w:rFonts w:hint="default" w:ascii="Times New Roman" w:hAnsi="Times New Roman" w:eastAsia="仿宋_GB2312" w:cs="Times New Roman"/>
                <w:color w:val="000000"/>
                <w:spacing w:val="-4"/>
                <w:kern w:val="0"/>
                <w:sz w:val="21"/>
                <w:szCs w:val="21"/>
              </w:rPr>
              <w:t>.地震安全性评价</w:t>
            </w:r>
          </w:p>
        </w:tc>
        <w:tc>
          <w:tcPr>
            <w:tcW w:w="6090" w:type="dxa"/>
            <w:vAlign w:val="center"/>
          </w:tcPr>
          <w:p w14:paraId="7D36B47E">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【法律】《中华人民共和国防震减灾法》第三十五条　</w:t>
            </w:r>
          </w:p>
          <w:p w14:paraId="7035F240">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 xml:space="preserve">【行政法规】《地震安全性评价管理条例》（国务院令第323号发布、国务院令第709号修改）第八条  </w:t>
            </w:r>
          </w:p>
        </w:tc>
        <w:tc>
          <w:tcPr>
            <w:tcW w:w="1605" w:type="dxa"/>
            <w:vAlign w:val="center"/>
          </w:tcPr>
          <w:p w14:paraId="7F0E905B">
            <w:pPr>
              <w:widowControl/>
              <w:spacing w:line="260" w:lineRule="exact"/>
              <w:ind w:left="-42" w:leftChars="-20" w:right="-42" w:rightChars="-20"/>
              <w:jc w:val="center"/>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强制性评估和中介事项</w:t>
            </w:r>
          </w:p>
        </w:tc>
        <w:tc>
          <w:tcPr>
            <w:tcW w:w="2205" w:type="dxa"/>
            <w:vAlign w:val="center"/>
          </w:tcPr>
          <w:p w14:paraId="5EBDAA98">
            <w:pPr>
              <w:widowControl/>
              <w:spacing w:line="260" w:lineRule="exact"/>
              <w:ind w:left="-42" w:leftChars="-20" w:right="-42" w:rightChars="-20"/>
              <w:rPr>
                <w:rFonts w:hint="eastAsia"/>
                <w:vertAlign w:val="baseline"/>
                <w:lang w:val="zh-CN" w:eastAsia="zh-CN"/>
              </w:rPr>
            </w:pPr>
            <w:r>
              <w:rPr>
                <w:rFonts w:hint="default" w:ascii="Times New Roman" w:hAnsi="Times New Roman" w:eastAsia="仿宋_GB2312" w:cs="Times New Roman"/>
                <w:color w:val="000000"/>
                <w:spacing w:val="-4"/>
                <w:kern w:val="0"/>
                <w:sz w:val="21"/>
                <w:szCs w:val="21"/>
              </w:rPr>
              <w:t>　</w:t>
            </w:r>
          </w:p>
        </w:tc>
        <w:tc>
          <w:tcPr>
            <w:tcW w:w="1275" w:type="dxa"/>
            <w:vAlign w:val="center"/>
          </w:tcPr>
          <w:p w14:paraId="4BB7ADA4">
            <w:pPr>
              <w:widowControl/>
              <w:spacing w:line="260" w:lineRule="exact"/>
              <w:ind w:left="-42" w:leftChars="-20" w:right="-42" w:rightChars="-20"/>
              <w:jc w:val="center"/>
              <w:rPr>
                <w:rFonts w:hint="eastAsia"/>
                <w:vertAlign w:val="baseline"/>
                <w:lang w:val="zh-CN" w:eastAsia="zh-CN"/>
              </w:rPr>
            </w:pPr>
            <w:r>
              <w:rPr>
                <w:rFonts w:hint="eastAsia" w:ascii="Times New Roman" w:hAnsi="Times New Roman" w:eastAsia="仿宋_GB2312" w:cs="Times New Roman"/>
                <w:color w:val="000000"/>
                <w:spacing w:val="-4"/>
                <w:kern w:val="0"/>
                <w:sz w:val="21"/>
                <w:szCs w:val="21"/>
                <w:lang w:val="en-US" w:eastAsia="zh-CN"/>
              </w:rPr>
              <w:t>挂起</w:t>
            </w:r>
          </w:p>
        </w:tc>
      </w:tr>
      <w:tr w14:paraId="0882D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50" w:type="dxa"/>
            <w:vAlign w:val="center"/>
          </w:tcPr>
          <w:p w14:paraId="72A6FC55">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14</w:t>
            </w:r>
            <w:r>
              <w:rPr>
                <w:rFonts w:hint="default" w:ascii="Times New Roman" w:hAnsi="Times New Roman" w:eastAsia="仿宋_GB2312" w:cs="Times New Roman"/>
                <w:color w:val="000000"/>
                <w:spacing w:val="-4"/>
                <w:kern w:val="0"/>
                <w:sz w:val="21"/>
                <w:szCs w:val="21"/>
              </w:rPr>
              <w:t>.海域使用权许可</w:t>
            </w:r>
          </w:p>
          <w:p w14:paraId="37D062CF">
            <w:pPr>
              <w:widowControl/>
              <w:spacing w:line="260" w:lineRule="exact"/>
              <w:ind w:left="-42" w:leftChars="-20" w:right="-42" w:rightChars="-20"/>
              <w:rPr>
                <w:rFonts w:hint="eastAsia" w:ascii="Times New Roman" w:hAnsi="Times New Roman" w:eastAsia="仿宋_GB2312" w:cs="Times New Roman"/>
                <w:color w:val="000000"/>
                <w:spacing w:val="-4"/>
                <w:kern w:val="0"/>
                <w:sz w:val="21"/>
                <w:szCs w:val="21"/>
                <w:lang w:val="en-US" w:eastAsia="zh-CN"/>
              </w:rPr>
            </w:pPr>
            <w:r>
              <w:rPr>
                <w:rFonts w:hint="default" w:ascii="Times New Roman" w:hAnsi="Times New Roman" w:eastAsia="仿宋_GB2312" w:cs="Times New Roman"/>
                <w:color w:val="000000"/>
                <w:spacing w:val="-4"/>
                <w:kern w:val="0"/>
                <w:sz w:val="21"/>
                <w:szCs w:val="21"/>
              </w:rPr>
              <w:t>（0100398000）</w:t>
            </w:r>
          </w:p>
        </w:tc>
        <w:tc>
          <w:tcPr>
            <w:tcW w:w="2235" w:type="dxa"/>
            <w:vAlign w:val="center"/>
          </w:tcPr>
          <w:p w14:paraId="4DADD5DF">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p>
          <w:p w14:paraId="24512D0F">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18</w:t>
            </w:r>
            <w:r>
              <w:rPr>
                <w:rFonts w:hint="default" w:ascii="Times New Roman" w:hAnsi="Times New Roman" w:eastAsia="仿宋_GB2312" w:cs="Times New Roman"/>
                <w:color w:val="000000"/>
                <w:spacing w:val="-4"/>
                <w:kern w:val="0"/>
                <w:sz w:val="21"/>
                <w:szCs w:val="21"/>
              </w:rPr>
              <w:t>.海域使用权申请许可</w:t>
            </w:r>
          </w:p>
          <w:p w14:paraId="57622A79">
            <w:pPr>
              <w:widowControl/>
              <w:spacing w:line="260" w:lineRule="exact"/>
              <w:ind w:left="-42" w:leftChars="-20" w:right="-42" w:rightChars="-20"/>
              <w:rPr>
                <w:rFonts w:hint="eastAsia" w:ascii="Times New Roman" w:hAnsi="Times New Roman" w:eastAsia="仿宋_GB2312" w:cs="Times New Roman"/>
                <w:color w:val="000000"/>
                <w:spacing w:val="-4"/>
                <w:kern w:val="0"/>
                <w:sz w:val="21"/>
                <w:szCs w:val="21"/>
                <w:lang w:val="en-US" w:eastAsia="zh-CN"/>
              </w:rPr>
            </w:pPr>
            <w:r>
              <w:rPr>
                <w:rFonts w:hint="default" w:ascii="Times New Roman" w:hAnsi="Times New Roman" w:eastAsia="仿宋_GB2312" w:cs="Times New Roman"/>
                <w:color w:val="000000"/>
                <w:spacing w:val="-4"/>
                <w:kern w:val="0"/>
                <w:sz w:val="21"/>
                <w:szCs w:val="21"/>
              </w:rPr>
              <w:t>（0100398001）</w:t>
            </w:r>
          </w:p>
        </w:tc>
        <w:tc>
          <w:tcPr>
            <w:tcW w:w="6090" w:type="dxa"/>
            <w:vAlign w:val="center"/>
          </w:tcPr>
          <w:p w14:paraId="5D37CF0C">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【法律】《中华人民共和国海域使用管理法》第三条第二款、第十七条  </w:t>
            </w:r>
          </w:p>
          <w:p w14:paraId="48F52A45">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【规范性文件】《国务院办公厅关于印发精简审批事项规范中介服务实行企业投资项目网上并联核准制度工作方案的通知》（国办发〔2014〕59号）</w:t>
            </w:r>
          </w:p>
          <w:p w14:paraId="28F108BB">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【规范性文件】《国家海洋局关于印发&lt;海域使用权管理规定&gt;的通知》（国海发〔2006〕27号）第四条第二款  </w:t>
            </w:r>
          </w:p>
          <w:p w14:paraId="78DF1FC9">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【规范性文件】《国家发展和改革委员会、国家海洋局关于加强围填海规划计划管理的通知》（发改地区〔2009〕2976号）</w:t>
            </w:r>
          </w:p>
        </w:tc>
        <w:tc>
          <w:tcPr>
            <w:tcW w:w="1605" w:type="dxa"/>
            <w:vAlign w:val="center"/>
          </w:tcPr>
          <w:p w14:paraId="783A2430">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2205" w:type="dxa"/>
            <w:vAlign w:val="center"/>
          </w:tcPr>
          <w:p w14:paraId="00EDCD4D">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p>
        </w:tc>
        <w:tc>
          <w:tcPr>
            <w:tcW w:w="1275" w:type="dxa"/>
            <w:vAlign w:val="center"/>
          </w:tcPr>
          <w:p w14:paraId="50D23A55">
            <w:pPr>
              <w:widowControl/>
              <w:spacing w:line="260" w:lineRule="exact"/>
              <w:ind w:left="-42" w:leftChars="-20" w:right="-42" w:rightChars="-20"/>
              <w:jc w:val="center"/>
              <w:rPr>
                <w:rFonts w:hint="eastAsia" w:ascii="Times New Roman" w:hAnsi="Times New Roman" w:eastAsia="仿宋_GB2312" w:cs="Times New Roman"/>
                <w:color w:val="000000"/>
                <w:spacing w:val="-4"/>
                <w:kern w:val="0"/>
                <w:sz w:val="21"/>
                <w:szCs w:val="21"/>
                <w:lang w:val="en-US" w:eastAsia="zh-CN"/>
              </w:rPr>
            </w:pPr>
            <w:r>
              <w:rPr>
                <w:rFonts w:hint="eastAsia" w:ascii="Times New Roman" w:hAnsi="Times New Roman" w:eastAsia="仿宋_GB2312" w:cs="Times New Roman"/>
                <w:color w:val="000000"/>
                <w:spacing w:val="-4"/>
                <w:kern w:val="0"/>
                <w:sz w:val="21"/>
                <w:szCs w:val="21"/>
                <w:lang w:val="en-US" w:eastAsia="zh-CN"/>
              </w:rPr>
              <w:t>挂起</w:t>
            </w:r>
          </w:p>
        </w:tc>
      </w:tr>
      <w:tr w14:paraId="06B2D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50" w:type="dxa"/>
            <w:vAlign w:val="center"/>
          </w:tcPr>
          <w:p w14:paraId="687EB8CE">
            <w:pPr>
              <w:widowControl/>
              <w:spacing w:line="260" w:lineRule="exact"/>
              <w:ind w:left="-42" w:leftChars="-20" w:right="-42" w:rightChars="-20"/>
              <w:rPr>
                <w:rFonts w:hint="eastAsia" w:ascii="Times New Roman" w:hAnsi="Times New Roman" w:eastAsia="仿宋_GB2312" w:cs="Times New Roman"/>
                <w:color w:val="000000"/>
                <w:spacing w:val="-4"/>
                <w:kern w:val="0"/>
                <w:sz w:val="21"/>
                <w:szCs w:val="21"/>
                <w:lang w:val="en-US" w:eastAsia="zh-CN"/>
              </w:rPr>
            </w:pPr>
            <w:r>
              <w:rPr>
                <w:rFonts w:hint="eastAsia" w:ascii="Times New Roman" w:hAnsi="Times New Roman" w:eastAsia="仿宋_GB2312" w:cs="Times New Roman"/>
                <w:color w:val="000000"/>
                <w:spacing w:val="-4"/>
                <w:kern w:val="0"/>
                <w:sz w:val="21"/>
                <w:szCs w:val="21"/>
                <w:lang w:val="en-US" w:eastAsia="zh-CN"/>
              </w:rPr>
              <w:t>15.无居民海岛开发利用许可（0100416000）</w:t>
            </w:r>
          </w:p>
        </w:tc>
        <w:tc>
          <w:tcPr>
            <w:tcW w:w="2235" w:type="dxa"/>
            <w:vAlign w:val="center"/>
          </w:tcPr>
          <w:p w14:paraId="3184C1A2">
            <w:pPr>
              <w:widowControl/>
              <w:spacing w:line="260" w:lineRule="exact"/>
              <w:ind w:left="-42" w:leftChars="-20" w:right="-42" w:rightChars="-20"/>
              <w:rPr>
                <w:rFonts w:hint="eastAsia" w:ascii="Times New Roman" w:hAnsi="Times New Roman" w:eastAsia="仿宋_GB2312" w:cs="Times New Roman"/>
                <w:color w:val="000000"/>
                <w:spacing w:val="-4"/>
                <w:kern w:val="0"/>
                <w:sz w:val="21"/>
                <w:szCs w:val="21"/>
                <w:lang w:val="en-US" w:eastAsia="zh-CN"/>
              </w:rPr>
            </w:pPr>
            <w:r>
              <w:rPr>
                <w:rFonts w:hint="eastAsia" w:ascii="Times New Roman" w:hAnsi="Times New Roman" w:eastAsia="仿宋_GB2312" w:cs="Times New Roman"/>
                <w:color w:val="000000"/>
                <w:spacing w:val="-4"/>
                <w:kern w:val="0"/>
                <w:sz w:val="21"/>
                <w:szCs w:val="21"/>
                <w:lang w:val="en-US" w:eastAsia="zh-CN"/>
              </w:rPr>
              <w:t>19.无居民海岛开发利用许可（0100416000）</w:t>
            </w:r>
          </w:p>
        </w:tc>
        <w:tc>
          <w:tcPr>
            <w:tcW w:w="6090" w:type="dxa"/>
            <w:vAlign w:val="center"/>
          </w:tcPr>
          <w:p w14:paraId="737D8B45">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【法律】《中华人民共和国海岛保护法》第三十条</w:t>
            </w:r>
          </w:p>
        </w:tc>
        <w:tc>
          <w:tcPr>
            <w:tcW w:w="1605" w:type="dxa"/>
            <w:vAlign w:val="center"/>
          </w:tcPr>
          <w:p w14:paraId="699037E0">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2205" w:type="dxa"/>
            <w:vAlign w:val="center"/>
          </w:tcPr>
          <w:p w14:paraId="580A3021">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p>
        </w:tc>
        <w:tc>
          <w:tcPr>
            <w:tcW w:w="1275" w:type="dxa"/>
            <w:vAlign w:val="center"/>
          </w:tcPr>
          <w:p w14:paraId="405A263F">
            <w:pPr>
              <w:widowControl/>
              <w:spacing w:line="260" w:lineRule="exact"/>
              <w:ind w:left="-42" w:leftChars="-20" w:right="-42" w:rightChars="-20"/>
              <w:jc w:val="center"/>
              <w:rPr>
                <w:rFonts w:hint="eastAsia" w:ascii="Times New Roman" w:hAnsi="Times New Roman" w:eastAsia="仿宋_GB2312" w:cs="Times New Roman"/>
                <w:color w:val="000000"/>
                <w:spacing w:val="-4"/>
                <w:kern w:val="0"/>
                <w:sz w:val="21"/>
                <w:szCs w:val="21"/>
                <w:lang w:val="en-US" w:eastAsia="zh-CN"/>
              </w:rPr>
            </w:pPr>
            <w:r>
              <w:rPr>
                <w:rFonts w:hint="eastAsia" w:ascii="Times New Roman" w:hAnsi="Times New Roman" w:eastAsia="仿宋_GB2312" w:cs="Times New Roman"/>
                <w:color w:val="000000"/>
                <w:spacing w:val="-4"/>
                <w:kern w:val="0"/>
                <w:sz w:val="21"/>
                <w:szCs w:val="21"/>
                <w:lang w:val="en-US" w:eastAsia="zh-CN"/>
              </w:rPr>
              <w:t>挂起</w:t>
            </w:r>
          </w:p>
        </w:tc>
      </w:tr>
    </w:tbl>
    <w:p w14:paraId="62681D44">
      <w:pPr>
        <w:rPr>
          <w:color w:val="000000"/>
        </w:rPr>
      </w:pPr>
    </w:p>
    <w:p w14:paraId="5E675251">
      <w:pPr>
        <w:rPr>
          <w:rFonts w:hint="default" w:ascii="Times New Roman" w:hAnsi="Times New Roman" w:eastAsia="黑体" w:cs="Times New Roman"/>
          <w:color w:val="000000"/>
          <w:spacing w:val="-4"/>
          <w:kern w:val="0"/>
          <w:sz w:val="32"/>
          <w:szCs w:val="32"/>
        </w:rPr>
      </w:pPr>
    </w:p>
    <w:p w14:paraId="5AFF3821">
      <w:pPr>
        <w:rPr>
          <w:rFonts w:hint="default" w:ascii="Times New Roman" w:hAnsi="Times New Roman" w:eastAsia="黑体" w:cs="Times New Roman"/>
          <w:color w:val="000000"/>
          <w:spacing w:val="-4"/>
          <w:kern w:val="0"/>
          <w:sz w:val="32"/>
          <w:szCs w:val="32"/>
        </w:rPr>
      </w:pPr>
    </w:p>
    <w:p w14:paraId="7DEA6C6E">
      <w:pPr>
        <w:rPr>
          <w:rFonts w:hint="default" w:ascii="Times New Roman" w:hAnsi="Times New Roman" w:eastAsia="黑体" w:cs="Times New Roman"/>
          <w:color w:val="000000"/>
          <w:spacing w:val="-4"/>
          <w:kern w:val="0"/>
          <w:sz w:val="32"/>
          <w:szCs w:val="32"/>
        </w:rPr>
      </w:pPr>
    </w:p>
    <w:p w14:paraId="7699D8D1">
      <w:pPr>
        <w:rPr>
          <w:rFonts w:hint="default" w:ascii="Times New Roman" w:hAnsi="Times New Roman" w:eastAsia="黑体" w:cs="Times New Roman"/>
          <w:color w:val="000000"/>
          <w:spacing w:val="-4"/>
          <w:kern w:val="0"/>
          <w:sz w:val="32"/>
          <w:szCs w:val="32"/>
        </w:rPr>
      </w:pPr>
    </w:p>
    <w:p w14:paraId="47C88B98">
      <w:pPr>
        <w:rPr>
          <w:rFonts w:hint="default" w:ascii="Times New Roman" w:hAnsi="Times New Roman" w:eastAsia="黑体" w:cs="Times New Roman"/>
          <w:color w:val="000000"/>
          <w:spacing w:val="-4"/>
          <w:kern w:val="0"/>
          <w:sz w:val="32"/>
          <w:szCs w:val="32"/>
        </w:rPr>
      </w:pPr>
    </w:p>
    <w:p w14:paraId="6872FAA5">
      <w:pPr>
        <w:rPr>
          <w:rFonts w:hint="default" w:ascii="Times New Roman" w:hAnsi="Times New Roman" w:eastAsia="黑体" w:cs="Times New Roman"/>
          <w:color w:val="000000"/>
          <w:spacing w:val="-4"/>
          <w:kern w:val="0"/>
          <w:sz w:val="32"/>
          <w:szCs w:val="32"/>
        </w:rPr>
      </w:pPr>
    </w:p>
    <w:p w14:paraId="4DA16337">
      <w:pPr>
        <w:rPr>
          <w:rFonts w:hint="default" w:ascii="Times New Roman" w:hAnsi="Times New Roman" w:eastAsia="黑体" w:cs="Times New Roman"/>
          <w:color w:val="000000"/>
          <w:spacing w:val="-4"/>
          <w:kern w:val="0"/>
          <w:sz w:val="32"/>
          <w:szCs w:val="32"/>
        </w:rPr>
      </w:pPr>
    </w:p>
    <w:p w14:paraId="032A7B72">
      <w:pPr>
        <w:rPr>
          <w:rFonts w:hint="eastAsia" w:ascii="方正黑体_GBK" w:eastAsia="方正黑体_GBK"/>
          <w:color w:val="000000"/>
          <w:sz w:val="32"/>
          <w:szCs w:val="32"/>
        </w:rPr>
      </w:pPr>
      <w:r>
        <w:rPr>
          <w:rFonts w:hint="eastAsia" w:ascii="Times New Roman" w:hAnsi="Times New Roman" w:eastAsia="黑体" w:cs="Times New Roman"/>
          <w:color w:val="000000"/>
          <w:spacing w:val="-4"/>
          <w:kern w:val="0"/>
          <w:sz w:val="32"/>
          <w:szCs w:val="32"/>
          <w:lang w:eastAsia="zh-CN"/>
        </w:rPr>
        <w:t>三</w:t>
      </w:r>
      <w:r>
        <w:rPr>
          <w:rFonts w:hint="default" w:ascii="Times New Roman" w:hAnsi="Times New Roman" w:eastAsia="黑体" w:cs="Times New Roman"/>
          <w:color w:val="000000"/>
          <w:spacing w:val="-4"/>
          <w:kern w:val="0"/>
          <w:sz w:val="32"/>
          <w:szCs w:val="32"/>
        </w:rPr>
        <w:t>、取消事项（事项</w:t>
      </w:r>
      <w:r>
        <w:rPr>
          <w:rFonts w:hint="eastAsia" w:ascii="Times New Roman" w:hAnsi="Times New Roman" w:eastAsia="黑体" w:cs="Times New Roman"/>
          <w:color w:val="000000"/>
          <w:spacing w:val="-4"/>
          <w:kern w:val="0"/>
          <w:sz w:val="32"/>
          <w:szCs w:val="32"/>
          <w:lang w:val="en-US" w:eastAsia="zh-CN"/>
        </w:rPr>
        <w:t>20</w:t>
      </w:r>
      <w:r>
        <w:rPr>
          <w:rFonts w:hint="default" w:ascii="Times New Roman" w:hAnsi="Times New Roman" w:eastAsia="黑体" w:cs="Times New Roman"/>
          <w:color w:val="000000"/>
          <w:spacing w:val="-4"/>
          <w:kern w:val="0"/>
          <w:sz w:val="32"/>
          <w:szCs w:val="32"/>
        </w:rPr>
        <w:t>项、子项</w:t>
      </w:r>
      <w:r>
        <w:rPr>
          <w:rFonts w:hint="eastAsia" w:ascii="Times New Roman" w:hAnsi="Times New Roman" w:eastAsia="黑体" w:cs="Times New Roman"/>
          <w:color w:val="000000"/>
          <w:spacing w:val="-4"/>
          <w:kern w:val="0"/>
          <w:sz w:val="32"/>
          <w:szCs w:val="32"/>
          <w:lang w:val="en-US" w:eastAsia="zh-CN"/>
        </w:rPr>
        <w:t>25</w:t>
      </w:r>
      <w:r>
        <w:rPr>
          <w:rFonts w:hint="default" w:ascii="Times New Roman" w:hAnsi="Times New Roman" w:eastAsia="黑体" w:cs="Times New Roman"/>
          <w:color w:val="000000"/>
          <w:spacing w:val="-4"/>
          <w:kern w:val="0"/>
          <w:sz w:val="32"/>
          <w:szCs w:val="32"/>
        </w:rPr>
        <w:t>项）</w:t>
      </w:r>
    </w:p>
    <w:tbl>
      <w:tblPr>
        <w:tblStyle w:val="4"/>
        <w:tblW w:w="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0"/>
        <w:gridCol w:w="2655"/>
        <w:gridCol w:w="6580"/>
        <w:gridCol w:w="1815"/>
        <w:gridCol w:w="1815"/>
      </w:tblGrid>
      <w:tr w14:paraId="06665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blHeader/>
          <w:jc w:val="center"/>
        </w:trPr>
        <w:tc>
          <w:tcPr>
            <w:tcW w:w="5205" w:type="dxa"/>
            <w:gridSpan w:val="2"/>
            <w:shd w:val="clear" w:color="000000" w:fill="FFFFFF"/>
            <w:vAlign w:val="center"/>
          </w:tcPr>
          <w:p w14:paraId="76226E70">
            <w:pPr>
              <w:widowControl/>
              <w:spacing w:line="260" w:lineRule="exact"/>
              <w:ind w:left="-42" w:leftChars="-20" w:right="-42" w:rightChars="-20"/>
              <w:jc w:val="center"/>
              <w:rPr>
                <w:rFonts w:hint="default" w:ascii="Times New Roman" w:hAnsi="Times New Roman" w:eastAsia="黑体" w:cs="Times New Roman"/>
                <w:bCs/>
                <w:color w:val="000000"/>
                <w:spacing w:val="-4"/>
                <w:kern w:val="0"/>
                <w:sz w:val="24"/>
                <w:szCs w:val="24"/>
              </w:rPr>
            </w:pPr>
            <w:r>
              <w:rPr>
                <w:rFonts w:hint="default" w:ascii="Times New Roman" w:hAnsi="Times New Roman" w:eastAsia="黑体" w:cs="Times New Roman"/>
                <w:bCs/>
                <w:color w:val="000000"/>
                <w:spacing w:val="-4"/>
                <w:kern w:val="0"/>
                <w:sz w:val="24"/>
                <w:szCs w:val="24"/>
              </w:rPr>
              <w:t>事  项  名  称</w:t>
            </w:r>
          </w:p>
        </w:tc>
        <w:tc>
          <w:tcPr>
            <w:tcW w:w="6580" w:type="dxa"/>
            <w:vMerge w:val="restart"/>
            <w:shd w:val="clear" w:color="000000" w:fill="FFFFFF"/>
            <w:vAlign w:val="center"/>
          </w:tcPr>
          <w:p w14:paraId="42B3A9A4">
            <w:pPr>
              <w:widowControl/>
              <w:spacing w:line="260" w:lineRule="exact"/>
              <w:ind w:left="-42" w:leftChars="-20" w:right="-42" w:rightChars="-20"/>
              <w:jc w:val="center"/>
              <w:rPr>
                <w:rFonts w:hint="default" w:ascii="Times New Roman" w:hAnsi="Times New Roman" w:eastAsia="黑体" w:cs="Times New Roman"/>
                <w:bCs/>
                <w:color w:val="000000"/>
                <w:spacing w:val="-4"/>
                <w:kern w:val="0"/>
                <w:sz w:val="24"/>
                <w:szCs w:val="24"/>
              </w:rPr>
            </w:pPr>
            <w:r>
              <w:rPr>
                <w:rFonts w:hint="default" w:ascii="Times New Roman" w:hAnsi="Times New Roman" w:eastAsia="黑体" w:cs="Times New Roman"/>
                <w:bCs/>
                <w:color w:val="000000"/>
                <w:spacing w:val="-4"/>
                <w:kern w:val="0"/>
                <w:sz w:val="24"/>
                <w:szCs w:val="24"/>
              </w:rPr>
              <w:t>设        定        依        据</w:t>
            </w:r>
          </w:p>
        </w:tc>
        <w:tc>
          <w:tcPr>
            <w:tcW w:w="1815" w:type="dxa"/>
            <w:vMerge w:val="restart"/>
            <w:vAlign w:val="center"/>
          </w:tcPr>
          <w:p w14:paraId="38C1E85F">
            <w:pPr>
              <w:widowControl/>
              <w:spacing w:line="260" w:lineRule="exact"/>
              <w:ind w:left="-42" w:leftChars="-20" w:right="-42" w:rightChars="-20"/>
              <w:jc w:val="center"/>
              <w:rPr>
                <w:rFonts w:hint="default" w:ascii="Times New Roman" w:hAnsi="Times New Roman" w:eastAsia="黑体" w:cs="Times New Roman"/>
                <w:bCs/>
                <w:color w:val="000000"/>
                <w:spacing w:val="-4"/>
                <w:kern w:val="0"/>
                <w:sz w:val="24"/>
                <w:szCs w:val="24"/>
              </w:rPr>
            </w:pPr>
            <w:r>
              <w:rPr>
                <w:rFonts w:hint="default" w:ascii="Times New Roman" w:hAnsi="Times New Roman" w:eastAsia="黑体" w:cs="Times New Roman"/>
                <w:bCs/>
                <w:color w:val="000000"/>
                <w:spacing w:val="-4"/>
                <w:kern w:val="0"/>
                <w:sz w:val="24"/>
                <w:szCs w:val="24"/>
              </w:rPr>
              <w:t>事项类型</w:t>
            </w:r>
          </w:p>
        </w:tc>
        <w:tc>
          <w:tcPr>
            <w:tcW w:w="1815" w:type="dxa"/>
            <w:vMerge w:val="restart"/>
            <w:vAlign w:val="center"/>
          </w:tcPr>
          <w:p w14:paraId="44AD1F15">
            <w:pPr>
              <w:widowControl/>
              <w:spacing w:line="260" w:lineRule="exact"/>
              <w:ind w:left="-42" w:leftChars="-20" w:right="-42" w:rightChars="-20"/>
              <w:jc w:val="center"/>
              <w:rPr>
                <w:rFonts w:hint="eastAsia" w:ascii="Times New Roman" w:hAnsi="Times New Roman" w:eastAsia="黑体" w:cs="Times New Roman"/>
                <w:bCs/>
                <w:color w:val="000000"/>
                <w:spacing w:val="-4"/>
                <w:kern w:val="0"/>
                <w:sz w:val="24"/>
                <w:szCs w:val="24"/>
                <w:lang w:eastAsia="zh-CN"/>
              </w:rPr>
            </w:pPr>
            <w:r>
              <w:rPr>
                <w:rFonts w:hint="eastAsia" w:ascii="Times New Roman" w:hAnsi="Times New Roman" w:eastAsia="黑体" w:cs="Times New Roman"/>
                <w:bCs/>
                <w:color w:val="000000"/>
                <w:spacing w:val="-4"/>
                <w:kern w:val="0"/>
                <w:sz w:val="24"/>
                <w:szCs w:val="24"/>
                <w:lang w:eastAsia="zh-CN"/>
              </w:rPr>
              <w:t>措施</w:t>
            </w:r>
          </w:p>
        </w:tc>
      </w:tr>
      <w:tr w14:paraId="6EC3E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blHeader/>
          <w:jc w:val="center"/>
        </w:trPr>
        <w:tc>
          <w:tcPr>
            <w:tcW w:w="2550" w:type="dxa"/>
            <w:shd w:val="clear" w:color="000000" w:fill="FFFFFF"/>
            <w:vAlign w:val="center"/>
          </w:tcPr>
          <w:p w14:paraId="0B884BEE">
            <w:pPr>
              <w:widowControl/>
              <w:spacing w:line="260" w:lineRule="exact"/>
              <w:ind w:left="-42" w:leftChars="-20" w:right="-42" w:rightChars="-20"/>
              <w:jc w:val="center"/>
              <w:rPr>
                <w:rFonts w:hint="default" w:ascii="Times New Roman" w:hAnsi="Times New Roman" w:eastAsia="黑体" w:cs="Times New Roman"/>
                <w:bCs/>
                <w:color w:val="000000"/>
                <w:spacing w:val="-4"/>
                <w:kern w:val="0"/>
                <w:sz w:val="24"/>
                <w:szCs w:val="24"/>
              </w:rPr>
            </w:pPr>
            <w:r>
              <w:rPr>
                <w:rFonts w:hint="default" w:ascii="Times New Roman" w:hAnsi="Times New Roman" w:eastAsia="黑体" w:cs="Times New Roman"/>
                <w:bCs/>
                <w:color w:val="000000"/>
                <w:spacing w:val="-4"/>
                <w:kern w:val="0"/>
                <w:sz w:val="24"/>
                <w:szCs w:val="24"/>
              </w:rPr>
              <w:t>事项名称</w:t>
            </w:r>
          </w:p>
          <w:p w14:paraId="7612D4C7">
            <w:pPr>
              <w:widowControl/>
              <w:spacing w:line="260" w:lineRule="exact"/>
              <w:ind w:left="-42" w:leftChars="-20" w:right="-42" w:rightChars="-20"/>
              <w:jc w:val="center"/>
              <w:rPr>
                <w:rFonts w:hint="default" w:ascii="Times New Roman" w:hAnsi="Times New Roman" w:eastAsia="黑体" w:cs="Times New Roman"/>
                <w:bCs/>
                <w:color w:val="000000"/>
                <w:spacing w:val="-4"/>
                <w:kern w:val="0"/>
                <w:sz w:val="24"/>
                <w:szCs w:val="24"/>
              </w:rPr>
            </w:pPr>
            <w:r>
              <w:rPr>
                <w:rFonts w:hint="default" w:ascii="Times New Roman" w:hAnsi="Times New Roman" w:eastAsia="黑体" w:cs="Times New Roman"/>
                <w:bCs/>
                <w:color w:val="000000"/>
                <w:spacing w:val="-4"/>
                <w:kern w:val="0"/>
                <w:sz w:val="24"/>
                <w:szCs w:val="24"/>
              </w:rPr>
              <w:t>（编码）</w:t>
            </w:r>
          </w:p>
        </w:tc>
        <w:tc>
          <w:tcPr>
            <w:tcW w:w="2655" w:type="dxa"/>
            <w:shd w:val="clear" w:color="000000" w:fill="FFFFFF"/>
            <w:vAlign w:val="center"/>
          </w:tcPr>
          <w:p w14:paraId="74248A70">
            <w:pPr>
              <w:widowControl/>
              <w:spacing w:line="260" w:lineRule="exact"/>
              <w:ind w:left="-42" w:leftChars="-20" w:right="-42" w:rightChars="-20"/>
              <w:jc w:val="center"/>
              <w:rPr>
                <w:rFonts w:hint="default" w:ascii="Times New Roman" w:hAnsi="Times New Roman" w:eastAsia="黑体" w:cs="Times New Roman"/>
                <w:bCs/>
                <w:color w:val="000000"/>
                <w:spacing w:val="-4"/>
                <w:kern w:val="0"/>
                <w:sz w:val="24"/>
                <w:szCs w:val="24"/>
              </w:rPr>
            </w:pPr>
            <w:r>
              <w:rPr>
                <w:rFonts w:hint="default" w:ascii="Times New Roman" w:hAnsi="Times New Roman" w:eastAsia="黑体" w:cs="Times New Roman"/>
                <w:bCs/>
                <w:color w:val="000000"/>
                <w:spacing w:val="-4"/>
                <w:kern w:val="0"/>
                <w:sz w:val="24"/>
                <w:szCs w:val="24"/>
              </w:rPr>
              <w:t>子项名称</w:t>
            </w:r>
          </w:p>
          <w:p w14:paraId="215F5A71">
            <w:pPr>
              <w:widowControl/>
              <w:spacing w:line="260" w:lineRule="exact"/>
              <w:ind w:left="-42" w:leftChars="-20" w:right="-42" w:rightChars="-20"/>
              <w:jc w:val="center"/>
              <w:rPr>
                <w:rFonts w:hint="default" w:ascii="Times New Roman" w:hAnsi="Times New Roman" w:eastAsia="黑体" w:cs="Times New Roman"/>
                <w:bCs/>
                <w:color w:val="000000"/>
                <w:spacing w:val="-4"/>
                <w:kern w:val="0"/>
                <w:sz w:val="24"/>
                <w:szCs w:val="24"/>
              </w:rPr>
            </w:pPr>
            <w:r>
              <w:rPr>
                <w:rFonts w:hint="default" w:ascii="Times New Roman" w:hAnsi="Times New Roman" w:eastAsia="黑体" w:cs="Times New Roman"/>
                <w:bCs/>
                <w:color w:val="000000"/>
                <w:spacing w:val="-4"/>
                <w:kern w:val="0"/>
                <w:sz w:val="24"/>
                <w:szCs w:val="24"/>
              </w:rPr>
              <w:t>（编码）</w:t>
            </w:r>
          </w:p>
        </w:tc>
        <w:tc>
          <w:tcPr>
            <w:tcW w:w="6580" w:type="dxa"/>
            <w:vMerge w:val="continue"/>
            <w:vAlign w:val="center"/>
          </w:tcPr>
          <w:p w14:paraId="0E9C6385">
            <w:pPr>
              <w:widowControl/>
              <w:spacing w:line="260" w:lineRule="exact"/>
              <w:ind w:left="-42" w:leftChars="-20" w:right="-42" w:rightChars="-20"/>
              <w:jc w:val="center"/>
              <w:rPr>
                <w:rFonts w:hint="default" w:ascii="Times New Roman" w:hAnsi="Times New Roman" w:eastAsia="方正黑体_GBK" w:cs="Times New Roman"/>
                <w:bCs/>
                <w:color w:val="000000"/>
                <w:spacing w:val="-4"/>
                <w:kern w:val="0"/>
                <w:szCs w:val="21"/>
              </w:rPr>
            </w:pPr>
          </w:p>
        </w:tc>
        <w:tc>
          <w:tcPr>
            <w:tcW w:w="1815" w:type="dxa"/>
            <w:vMerge w:val="continue"/>
            <w:vAlign w:val="center"/>
          </w:tcPr>
          <w:p w14:paraId="7ED30D09">
            <w:pPr>
              <w:widowControl/>
              <w:spacing w:line="260" w:lineRule="exact"/>
              <w:ind w:left="-42" w:leftChars="-20" w:right="-42" w:rightChars="-20"/>
              <w:jc w:val="center"/>
              <w:rPr>
                <w:rFonts w:hint="default" w:ascii="Times New Roman" w:hAnsi="Times New Roman" w:eastAsia="方正黑体_GBK" w:cs="Times New Roman"/>
                <w:bCs/>
                <w:color w:val="000000"/>
                <w:spacing w:val="-4"/>
                <w:kern w:val="0"/>
                <w:szCs w:val="21"/>
              </w:rPr>
            </w:pPr>
          </w:p>
        </w:tc>
        <w:tc>
          <w:tcPr>
            <w:tcW w:w="1815" w:type="dxa"/>
            <w:vMerge w:val="continue"/>
            <w:vAlign w:val="center"/>
          </w:tcPr>
          <w:p w14:paraId="75185B8A">
            <w:pPr>
              <w:widowControl/>
              <w:spacing w:line="260" w:lineRule="exact"/>
              <w:ind w:left="-42" w:leftChars="-20" w:right="-42" w:rightChars="-20"/>
              <w:jc w:val="center"/>
              <w:rPr>
                <w:rFonts w:hint="default" w:ascii="Times New Roman" w:hAnsi="Times New Roman" w:eastAsia="方正黑体_GBK" w:cs="Times New Roman"/>
                <w:bCs/>
                <w:color w:val="000000"/>
                <w:spacing w:val="-4"/>
                <w:kern w:val="0"/>
                <w:szCs w:val="21"/>
              </w:rPr>
            </w:pPr>
          </w:p>
        </w:tc>
      </w:tr>
      <w:tr w14:paraId="42E43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2550" w:type="dxa"/>
            <w:shd w:val="clear" w:color="000000" w:fill="FFFFFF"/>
            <w:vAlign w:val="center"/>
          </w:tcPr>
          <w:p w14:paraId="4FDE187E">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1.因特殊情况需要采用外国或香港、澳门、台湾地区有关工程建设标准、规范的备案（1000197000）</w:t>
            </w:r>
          </w:p>
        </w:tc>
        <w:tc>
          <w:tcPr>
            <w:tcW w:w="2655" w:type="dxa"/>
            <w:shd w:val="clear" w:color="000000" w:fill="FFFFFF"/>
            <w:vAlign w:val="center"/>
          </w:tcPr>
          <w:p w14:paraId="39C8E0F5">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1.因特殊情况需要采用外国或香港、澳门、台湾地区有关工程建设标准、规范的备案（1000197000）</w:t>
            </w:r>
          </w:p>
        </w:tc>
        <w:tc>
          <w:tcPr>
            <w:tcW w:w="6580" w:type="dxa"/>
            <w:shd w:val="clear" w:color="000000" w:fill="FFFFFF"/>
            <w:vAlign w:val="center"/>
          </w:tcPr>
          <w:p w14:paraId="03C4D0B4">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【规章】《江苏省建设工程勘察设计管理办法》（省政府令第168号）第二十二条 </w:t>
            </w:r>
          </w:p>
        </w:tc>
        <w:tc>
          <w:tcPr>
            <w:tcW w:w="1815" w:type="dxa"/>
            <w:vAlign w:val="center"/>
          </w:tcPr>
          <w:p w14:paraId="641CD840">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其他</w:t>
            </w:r>
          </w:p>
        </w:tc>
        <w:tc>
          <w:tcPr>
            <w:tcW w:w="1815" w:type="dxa"/>
            <w:vAlign w:val="center"/>
          </w:tcPr>
          <w:p w14:paraId="28F13F95">
            <w:pPr>
              <w:widowControl/>
              <w:spacing w:line="260" w:lineRule="exact"/>
              <w:ind w:left="-42" w:leftChars="-20" w:right="-42" w:rightChars="-20"/>
              <w:jc w:val="center"/>
              <w:rPr>
                <w:rFonts w:hint="eastAsia" w:ascii="Times New Roman" w:hAnsi="Times New Roman" w:eastAsia="仿宋_GB2312" w:cs="Times New Roman"/>
                <w:color w:val="000000"/>
                <w:spacing w:val="-4"/>
                <w:kern w:val="0"/>
                <w:sz w:val="21"/>
                <w:szCs w:val="21"/>
                <w:lang w:eastAsia="zh-CN"/>
              </w:rPr>
            </w:pPr>
            <w:r>
              <w:rPr>
                <w:rFonts w:hint="eastAsia" w:ascii="Times New Roman" w:hAnsi="Times New Roman" w:eastAsia="仿宋_GB2312" w:cs="Times New Roman"/>
                <w:color w:val="000000"/>
                <w:spacing w:val="-4"/>
                <w:kern w:val="0"/>
                <w:sz w:val="21"/>
                <w:szCs w:val="21"/>
                <w:lang w:eastAsia="zh-CN"/>
              </w:rPr>
              <w:t>取消</w:t>
            </w:r>
          </w:p>
        </w:tc>
      </w:tr>
      <w:tr w14:paraId="7BDC5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jc w:val="center"/>
        </w:trPr>
        <w:tc>
          <w:tcPr>
            <w:tcW w:w="2550" w:type="dxa"/>
            <w:shd w:val="clear" w:color="000000" w:fill="FFFFFF"/>
            <w:vAlign w:val="center"/>
          </w:tcPr>
          <w:p w14:paraId="4382786C">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2.工程勘察设计单位引用外省（直辖市、自治区）的工程建设标准设计图的备案（1000198000）</w:t>
            </w:r>
          </w:p>
        </w:tc>
        <w:tc>
          <w:tcPr>
            <w:tcW w:w="2655" w:type="dxa"/>
            <w:shd w:val="clear" w:color="000000" w:fill="FFFFFF"/>
            <w:vAlign w:val="center"/>
          </w:tcPr>
          <w:p w14:paraId="352B1134">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2.工程勘察设计单位引用外省（直辖市、自治区）的工程建设标准设计图的备案（1000198000）</w:t>
            </w:r>
          </w:p>
        </w:tc>
        <w:tc>
          <w:tcPr>
            <w:tcW w:w="6580" w:type="dxa"/>
            <w:shd w:val="clear" w:color="000000" w:fill="FFFFFF"/>
            <w:vAlign w:val="center"/>
          </w:tcPr>
          <w:p w14:paraId="4CC11046">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【规章】《江苏省建设工程勘察设计管理办法》（省政府令第168号）第二十三条 </w:t>
            </w:r>
          </w:p>
        </w:tc>
        <w:tc>
          <w:tcPr>
            <w:tcW w:w="1815" w:type="dxa"/>
            <w:vAlign w:val="center"/>
          </w:tcPr>
          <w:p w14:paraId="7E67DDCB">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其他</w:t>
            </w:r>
          </w:p>
        </w:tc>
        <w:tc>
          <w:tcPr>
            <w:tcW w:w="1815" w:type="dxa"/>
            <w:vAlign w:val="center"/>
          </w:tcPr>
          <w:p w14:paraId="4AA3626E">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eastAsia="zh-CN"/>
              </w:rPr>
              <w:t>取消</w:t>
            </w:r>
          </w:p>
        </w:tc>
      </w:tr>
      <w:tr w14:paraId="0DA15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2550" w:type="dxa"/>
            <w:shd w:val="clear" w:color="000000" w:fill="FFFFFF"/>
            <w:vAlign w:val="center"/>
          </w:tcPr>
          <w:p w14:paraId="241F621F">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3.建设工程设计文件审查情况备案（1000215000）</w:t>
            </w:r>
          </w:p>
        </w:tc>
        <w:tc>
          <w:tcPr>
            <w:tcW w:w="2655" w:type="dxa"/>
            <w:shd w:val="clear" w:color="000000" w:fill="FFFFFF"/>
            <w:vAlign w:val="center"/>
          </w:tcPr>
          <w:p w14:paraId="266F2A69">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3.建设工程设计文件审查情况备案（1000215000）</w:t>
            </w:r>
          </w:p>
        </w:tc>
        <w:tc>
          <w:tcPr>
            <w:tcW w:w="6580" w:type="dxa"/>
            <w:shd w:val="clear" w:color="000000" w:fill="FFFFFF"/>
            <w:vAlign w:val="center"/>
          </w:tcPr>
          <w:p w14:paraId="528D408B">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【规章】《房屋建筑和市政基础设施工程施工图设计文件审查管理办法》（住房和城乡建设部令第13号）第十三条 </w:t>
            </w:r>
          </w:p>
        </w:tc>
        <w:tc>
          <w:tcPr>
            <w:tcW w:w="1815" w:type="dxa"/>
            <w:vAlign w:val="center"/>
          </w:tcPr>
          <w:p w14:paraId="2089C620">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其他</w:t>
            </w:r>
          </w:p>
        </w:tc>
        <w:tc>
          <w:tcPr>
            <w:tcW w:w="1815" w:type="dxa"/>
            <w:vAlign w:val="center"/>
          </w:tcPr>
          <w:p w14:paraId="31F887E8">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eastAsia="zh-CN"/>
              </w:rPr>
              <w:t>取消</w:t>
            </w:r>
          </w:p>
        </w:tc>
      </w:tr>
      <w:tr w14:paraId="7AB1C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2550" w:type="dxa"/>
            <w:shd w:val="clear" w:color="000000" w:fill="FFFFFF"/>
            <w:vAlign w:val="center"/>
          </w:tcPr>
          <w:p w14:paraId="2BCE9A7D">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4.建设工程抗震设计审查（0100158000）</w:t>
            </w:r>
          </w:p>
        </w:tc>
        <w:tc>
          <w:tcPr>
            <w:tcW w:w="2655" w:type="dxa"/>
            <w:shd w:val="clear" w:color="000000" w:fill="FFFFFF"/>
            <w:vAlign w:val="center"/>
          </w:tcPr>
          <w:p w14:paraId="3E079887">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4.建设工程抗震设计审查（0100158000）</w:t>
            </w:r>
          </w:p>
        </w:tc>
        <w:tc>
          <w:tcPr>
            <w:tcW w:w="6580" w:type="dxa"/>
            <w:shd w:val="clear" w:color="000000" w:fill="FFFFFF"/>
            <w:vAlign w:val="center"/>
          </w:tcPr>
          <w:p w14:paraId="65064CA9">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【地方性法规】《江苏省防震减灾条例》第二十五条 </w:t>
            </w:r>
          </w:p>
          <w:p w14:paraId="02E48815">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【规范性文件】《省政府关于取消和下放126项行政审批项目的通知》（苏政发〔2013〕149号）省政府决定取消和下放管理层级的行政审批项目目录第39项</w:t>
            </w:r>
          </w:p>
        </w:tc>
        <w:tc>
          <w:tcPr>
            <w:tcW w:w="1815" w:type="dxa"/>
            <w:vAlign w:val="center"/>
          </w:tcPr>
          <w:p w14:paraId="2EDDABBE">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1815" w:type="dxa"/>
            <w:vAlign w:val="center"/>
          </w:tcPr>
          <w:p w14:paraId="46D74A2F">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eastAsia="zh-CN"/>
              </w:rPr>
              <w:t>取消</w:t>
            </w:r>
          </w:p>
        </w:tc>
      </w:tr>
      <w:tr w14:paraId="7650B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50" w:type="dxa"/>
            <w:shd w:val="clear" w:color="000000" w:fill="FFFFFF"/>
            <w:vAlign w:val="center"/>
          </w:tcPr>
          <w:p w14:paraId="583274F7">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5.建筑起重机械备案</w:t>
            </w:r>
          </w:p>
        </w:tc>
        <w:tc>
          <w:tcPr>
            <w:tcW w:w="2655" w:type="dxa"/>
            <w:shd w:val="clear" w:color="000000" w:fill="FFFFFF"/>
            <w:vAlign w:val="center"/>
          </w:tcPr>
          <w:p w14:paraId="0518FBEC">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5.建筑起重机械备案</w:t>
            </w:r>
          </w:p>
        </w:tc>
        <w:tc>
          <w:tcPr>
            <w:tcW w:w="6580" w:type="dxa"/>
            <w:shd w:val="clear" w:color="000000" w:fill="FFFFFF"/>
            <w:vAlign w:val="center"/>
          </w:tcPr>
          <w:p w14:paraId="4CD3E69A">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【规章】《建筑起重机械安全监督管理规定》（建设部令第166号）第五条、第八条　</w:t>
            </w:r>
          </w:p>
        </w:tc>
        <w:tc>
          <w:tcPr>
            <w:tcW w:w="1815" w:type="dxa"/>
            <w:vAlign w:val="center"/>
          </w:tcPr>
          <w:p w14:paraId="4602C969">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其他</w:t>
            </w:r>
          </w:p>
        </w:tc>
        <w:tc>
          <w:tcPr>
            <w:tcW w:w="1815" w:type="dxa"/>
            <w:vAlign w:val="center"/>
          </w:tcPr>
          <w:p w14:paraId="2115F85D">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eastAsia="zh-CN"/>
              </w:rPr>
              <w:t>取消</w:t>
            </w:r>
          </w:p>
        </w:tc>
      </w:tr>
      <w:tr w14:paraId="3365B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jc w:val="center"/>
        </w:trPr>
        <w:tc>
          <w:tcPr>
            <w:tcW w:w="2550" w:type="dxa"/>
            <w:shd w:val="clear" w:color="000000" w:fill="FFFFFF"/>
            <w:vAlign w:val="center"/>
          </w:tcPr>
          <w:p w14:paraId="1E896541">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6.建设工程招标投标情况书面报告</w:t>
            </w:r>
          </w:p>
        </w:tc>
        <w:tc>
          <w:tcPr>
            <w:tcW w:w="2655" w:type="dxa"/>
            <w:shd w:val="clear" w:color="000000" w:fill="FFFFFF"/>
            <w:vAlign w:val="center"/>
          </w:tcPr>
          <w:p w14:paraId="35F15D92">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6.建设工程招标投标情况书面报告</w:t>
            </w:r>
          </w:p>
        </w:tc>
        <w:tc>
          <w:tcPr>
            <w:tcW w:w="6580" w:type="dxa"/>
            <w:shd w:val="clear" w:color="000000" w:fill="FFFFFF"/>
            <w:vAlign w:val="center"/>
          </w:tcPr>
          <w:p w14:paraId="059AB5B2">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【法律】《中华人民共和国招标投标法》第四十七条 </w:t>
            </w:r>
          </w:p>
          <w:p w14:paraId="7E66E842">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【规章】《工程建设项目施工招标投标办法》第六十五条　</w:t>
            </w:r>
          </w:p>
          <w:p w14:paraId="255196CA">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【规章】《房屋建筑和市政基础设施工程施工招标投标管理办法》（建设部令第89号，根据2018年9月28日住房和城乡建设部令第43号修正）第四十四条　</w:t>
            </w:r>
          </w:p>
        </w:tc>
        <w:tc>
          <w:tcPr>
            <w:tcW w:w="1815" w:type="dxa"/>
            <w:vAlign w:val="center"/>
          </w:tcPr>
          <w:p w14:paraId="240CEBC3">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其他</w:t>
            </w:r>
          </w:p>
        </w:tc>
        <w:tc>
          <w:tcPr>
            <w:tcW w:w="1815" w:type="dxa"/>
            <w:vAlign w:val="center"/>
          </w:tcPr>
          <w:p w14:paraId="2DE30A5C">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eastAsia="zh-CN"/>
              </w:rPr>
              <w:t>取消</w:t>
            </w:r>
          </w:p>
        </w:tc>
      </w:tr>
      <w:tr w14:paraId="221A5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2550" w:type="dxa"/>
            <w:shd w:val="clear" w:color="000000" w:fill="FFFFFF"/>
            <w:vAlign w:val="center"/>
          </w:tcPr>
          <w:p w14:paraId="2A0BEC2C">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7.建设工程各类合同及相关备案（1000209000）</w:t>
            </w:r>
          </w:p>
        </w:tc>
        <w:tc>
          <w:tcPr>
            <w:tcW w:w="2655" w:type="dxa"/>
            <w:shd w:val="clear" w:color="000000" w:fill="FFFFFF"/>
            <w:vAlign w:val="center"/>
          </w:tcPr>
          <w:p w14:paraId="193CDADA">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7.建设工程各类合同及相关备案（1000209000）</w:t>
            </w:r>
          </w:p>
        </w:tc>
        <w:tc>
          <w:tcPr>
            <w:tcW w:w="6580" w:type="dxa"/>
            <w:shd w:val="clear" w:color="000000" w:fill="FFFFFF"/>
            <w:vAlign w:val="center"/>
          </w:tcPr>
          <w:p w14:paraId="01E40BEC">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【地方性法规】《江苏省建筑市场管理条例》 第三十一条 </w:t>
            </w:r>
          </w:p>
          <w:p w14:paraId="1C828360">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【规范性文件】《江苏省住建厅关于实施建设工程勘察设计合同备案工作的通知》（苏建函科〔2010〕689号）第一条、第三条</w:t>
            </w:r>
          </w:p>
        </w:tc>
        <w:tc>
          <w:tcPr>
            <w:tcW w:w="1815" w:type="dxa"/>
            <w:vAlign w:val="center"/>
          </w:tcPr>
          <w:p w14:paraId="1637E519">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其他</w:t>
            </w:r>
          </w:p>
        </w:tc>
        <w:tc>
          <w:tcPr>
            <w:tcW w:w="1815" w:type="dxa"/>
            <w:vAlign w:val="center"/>
          </w:tcPr>
          <w:p w14:paraId="3796EA25">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eastAsia="zh-CN"/>
              </w:rPr>
              <w:t>取消</w:t>
            </w:r>
          </w:p>
        </w:tc>
      </w:tr>
      <w:tr w14:paraId="75A8C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2550" w:type="dxa"/>
            <w:shd w:val="clear" w:color="000000" w:fill="FFFFFF"/>
            <w:vAlign w:val="center"/>
          </w:tcPr>
          <w:p w14:paraId="71B622A2">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8.招标人自行办理施工招标事宜的备案（1000217000）</w:t>
            </w:r>
          </w:p>
        </w:tc>
        <w:tc>
          <w:tcPr>
            <w:tcW w:w="2655" w:type="dxa"/>
            <w:shd w:val="clear" w:color="000000" w:fill="FFFFFF"/>
            <w:vAlign w:val="center"/>
          </w:tcPr>
          <w:p w14:paraId="0B76EF21">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8.招标人自行办理施工招标事宜的备案（1000217000）</w:t>
            </w:r>
          </w:p>
        </w:tc>
        <w:tc>
          <w:tcPr>
            <w:tcW w:w="6580" w:type="dxa"/>
            <w:shd w:val="clear" w:color="000000" w:fill="FFFFFF"/>
            <w:vAlign w:val="center"/>
          </w:tcPr>
          <w:p w14:paraId="11293357">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【法律】《招标投标法》第十二条第三款 </w:t>
            </w:r>
          </w:p>
          <w:p w14:paraId="279C977D">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【规章】《房屋建筑和市政基础设施工程施工招标投标管理办法》（建设部令第89号，根据2018年9月28日住房和城乡建设部令第43号修正）第十一条第一款 </w:t>
            </w:r>
          </w:p>
        </w:tc>
        <w:tc>
          <w:tcPr>
            <w:tcW w:w="1815" w:type="dxa"/>
            <w:vAlign w:val="center"/>
          </w:tcPr>
          <w:p w14:paraId="7BCC8420">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其他</w:t>
            </w:r>
          </w:p>
        </w:tc>
        <w:tc>
          <w:tcPr>
            <w:tcW w:w="1815" w:type="dxa"/>
            <w:vAlign w:val="center"/>
          </w:tcPr>
          <w:p w14:paraId="4CF2E9BD">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eastAsia="zh-CN"/>
              </w:rPr>
              <w:t>取消</w:t>
            </w:r>
          </w:p>
        </w:tc>
      </w:tr>
      <w:tr w14:paraId="46967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jc w:val="center"/>
        </w:trPr>
        <w:tc>
          <w:tcPr>
            <w:tcW w:w="2550" w:type="dxa"/>
            <w:shd w:val="clear" w:color="000000" w:fill="FFFFFF"/>
            <w:vAlign w:val="center"/>
          </w:tcPr>
          <w:p w14:paraId="265E0F78">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9.国有投资建设工程项目招标控制价备查（1000205000）</w:t>
            </w:r>
          </w:p>
        </w:tc>
        <w:tc>
          <w:tcPr>
            <w:tcW w:w="2655" w:type="dxa"/>
            <w:shd w:val="clear" w:color="000000" w:fill="FFFFFF"/>
            <w:vAlign w:val="center"/>
          </w:tcPr>
          <w:p w14:paraId="0007FB50">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9.国有投资建设工程项目招标控制价备查（1000205000）</w:t>
            </w:r>
          </w:p>
        </w:tc>
        <w:tc>
          <w:tcPr>
            <w:tcW w:w="6580" w:type="dxa"/>
            <w:shd w:val="clear" w:color="000000" w:fill="FFFFFF"/>
            <w:vAlign w:val="center"/>
          </w:tcPr>
          <w:p w14:paraId="0190D027">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【规章】《建筑工程施工发包与承包计价管理办法》（住房和城乡建设部令第16号）第六条第二款、第三款  </w:t>
            </w:r>
          </w:p>
          <w:p w14:paraId="387ABBEB">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【规范性文件】《建设工程工程量清单计价规范》（GB50500-2013）（2012年住房和城乡建设部 国家质量监督检验检疫总局发布）5.1.6</w:t>
            </w:r>
          </w:p>
        </w:tc>
        <w:tc>
          <w:tcPr>
            <w:tcW w:w="1815" w:type="dxa"/>
            <w:vAlign w:val="center"/>
          </w:tcPr>
          <w:p w14:paraId="09A32FDE">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其他</w:t>
            </w:r>
          </w:p>
        </w:tc>
        <w:tc>
          <w:tcPr>
            <w:tcW w:w="1815" w:type="dxa"/>
            <w:vAlign w:val="center"/>
          </w:tcPr>
          <w:p w14:paraId="01E63FB7">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eastAsia="zh-CN"/>
              </w:rPr>
              <w:t>取消</w:t>
            </w:r>
          </w:p>
        </w:tc>
      </w:tr>
      <w:tr w14:paraId="5B382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2550" w:type="dxa"/>
            <w:shd w:val="clear" w:color="000000" w:fill="FFFFFF"/>
            <w:vAlign w:val="center"/>
          </w:tcPr>
          <w:p w14:paraId="0EF87507">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10.建设工程抗震设防要求竣工验收（0100505002）</w:t>
            </w:r>
          </w:p>
        </w:tc>
        <w:tc>
          <w:tcPr>
            <w:tcW w:w="2655" w:type="dxa"/>
            <w:shd w:val="clear" w:color="000000" w:fill="FFFFFF"/>
            <w:vAlign w:val="center"/>
          </w:tcPr>
          <w:p w14:paraId="48BFBCA5">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10.建设工程抗震设防要求竣工验收（0100505002）</w:t>
            </w:r>
          </w:p>
        </w:tc>
        <w:tc>
          <w:tcPr>
            <w:tcW w:w="6580" w:type="dxa"/>
            <w:shd w:val="clear" w:color="000000" w:fill="FFFFFF"/>
            <w:vAlign w:val="center"/>
          </w:tcPr>
          <w:p w14:paraId="0A5166A7">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【地方性法规】《江苏省防震减灾条例》第二十五条  </w:t>
            </w:r>
          </w:p>
          <w:p w14:paraId="2C732D8F">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【规范性文件】《江苏省关于推进企业投资建设项目并联审批规范中介服务的意见》（苏政办发〔2015〕15号）附件2 第五个环节</w:t>
            </w:r>
          </w:p>
        </w:tc>
        <w:tc>
          <w:tcPr>
            <w:tcW w:w="1815" w:type="dxa"/>
            <w:vAlign w:val="center"/>
          </w:tcPr>
          <w:p w14:paraId="519BFCF8">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其他</w:t>
            </w:r>
          </w:p>
        </w:tc>
        <w:tc>
          <w:tcPr>
            <w:tcW w:w="1815" w:type="dxa"/>
            <w:vAlign w:val="center"/>
          </w:tcPr>
          <w:p w14:paraId="77E6F4EF">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eastAsia="zh-CN"/>
              </w:rPr>
              <w:t>取消</w:t>
            </w:r>
          </w:p>
        </w:tc>
      </w:tr>
      <w:tr w14:paraId="7A7FE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2550" w:type="dxa"/>
            <w:shd w:val="clear" w:color="000000" w:fill="FFFFFF"/>
            <w:vAlign w:val="center"/>
          </w:tcPr>
          <w:p w14:paraId="2B7D8B88">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11.建设工程竣工结算备案（1000219000）</w:t>
            </w:r>
          </w:p>
        </w:tc>
        <w:tc>
          <w:tcPr>
            <w:tcW w:w="2655" w:type="dxa"/>
            <w:shd w:val="clear" w:color="000000" w:fill="FFFFFF"/>
            <w:vAlign w:val="center"/>
          </w:tcPr>
          <w:p w14:paraId="62CF77B5">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11.建设工程竣工结算备案（1000219000）</w:t>
            </w:r>
          </w:p>
        </w:tc>
        <w:tc>
          <w:tcPr>
            <w:tcW w:w="6580" w:type="dxa"/>
            <w:shd w:val="clear" w:color="000000" w:fill="FFFFFF"/>
            <w:vAlign w:val="center"/>
          </w:tcPr>
          <w:p w14:paraId="55748223">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【规章】《建筑工程施工发包与承包计价管理办法》（住房和城乡建设部令第16号）第十九条　</w:t>
            </w:r>
          </w:p>
          <w:p w14:paraId="508A6311">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【技术规范】《建设工程工程量清单计价规范》 (GB50500-2013)  11.1.5条  </w:t>
            </w:r>
          </w:p>
          <w:p w14:paraId="7D92893E">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【规范性文件】《省政府关于取消和下放56项行政审批项目的通知》（苏政发〔2013〕19号）</w:t>
            </w:r>
          </w:p>
        </w:tc>
        <w:tc>
          <w:tcPr>
            <w:tcW w:w="1815" w:type="dxa"/>
            <w:vAlign w:val="center"/>
          </w:tcPr>
          <w:p w14:paraId="307B75AE">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其他</w:t>
            </w:r>
          </w:p>
        </w:tc>
        <w:tc>
          <w:tcPr>
            <w:tcW w:w="1815" w:type="dxa"/>
            <w:vAlign w:val="center"/>
          </w:tcPr>
          <w:p w14:paraId="1A436027">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eastAsia="zh-CN"/>
              </w:rPr>
              <w:t>取消</w:t>
            </w:r>
          </w:p>
        </w:tc>
      </w:tr>
      <w:tr w14:paraId="77ED9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50" w:type="dxa"/>
            <w:shd w:val="clear" w:color="000000" w:fill="FFFFFF"/>
            <w:vAlign w:val="center"/>
          </w:tcPr>
          <w:p w14:paraId="6732A3FE">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12.节水项目验收（1000246000）</w:t>
            </w:r>
          </w:p>
        </w:tc>
        <w:tc>
          <w:tcPr>
            <w:tcW w:w="2655" w:type="dxa"/>
            <w:shd w:val="clear" w:color="000000" w:fill="FFFFFF"/>
            <w:vAlign w:val="center"/>
          </w:tcPr>
          <w:p w14:paraId="28110251">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12.节水项目验收（1000246000）</w:t>
            </w:r>
          </w:p>
        </w:tc>
        <w:tc>
          <w:tcPr>
            <w:tcW w:w="6580" w:type="dxa"/>
            <w:shd w:val="clear" w:color="000000" w:fill="FFFFFF"/>
            <w:vAlign w:val="center"/>
          </w:tcPr>
          <w:p w14:paraId="1C9F7C74">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【行政法规】《城市节约用水管理规定》（国务院批准  建设部令第1号） 第九条　</w:t>
            </w:r>
          </w:p>
        </w:tc>
        <w:tc>
          <w:tcPr>
            <w:tcW w:w="1815" w:type="dxa"/>
            <w:vAlign w:val="center"/>
          </w:tcPr>
          <w:p w14:paraId="103B6ADA">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其他</w:t>
            </w:r>
          </w:p>
        </w:tc>
        <w:tc>
          <w:tcPr>
            <w:tcW w:w="1815" w:type="dxa"/>
            <w:vAlign w:val="center"/>
          </w:tcPr>
          <w:p w14:paraId="40F07228">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eastAsia="zh-CN"/>
              </w:rPr>
              <w:t>取消</w:t>
            </w:r>
          </w:p>
        </w:tc>
      </w:tr>
      <w:tr w14:paraId="5D568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50" w:type="dxa"/>
            <w:vMerge w:val="restart"/>
            <w:shd w:val="clear" w:color="000000" w:fill="FFFFFF"/>
            <w:vAlign w:val="center"/>
          </w:tcPr>
          <w:p w14:paraId="7E44DE5F">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13</w:t>
            </w:r>
            <w:r>
              <w:rPr>
                <w:rFonts w:hint="default" w:ascii="Times New Roman" w:hAnsi="Times New Roman" w:eastAsia="仿宋_GB2312" w:cs="Times New Roman"/>
                <w:color w:val="000000"/>
                <w:spacing w:val="-4"/>
                <w:kern w:val="0"/>
                <w:sz w:val="21"/>
                <w:szCs w:val="21"/>
              </w:rPr>
              <w:t>.建设用地供地审查（0100141000）</w:t>
            </w:r>
          </w:p>
        </w:tc>
        <w:tc>
          <w:tcPr>
            <w:tcW w:w="2655" w:type="dxa"/>
            <w:shd w:val="clear" w:color="000000" w:fill="FFFFFF"/>
            <w:vAlign w:val="center"/>
          </w:tcPr>
          <w:p w14:paraId="01B00822">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13</w:t>
            </w:r>
            <w:r>
              <w:rPr>
                <w:rFonts w:hint="default" w:ascii="Times New Roman" w:hAnsi="Times New Roman" w:eastAsia="仿宋_GB2312" w:cs="Times New Roman"/>
                <w:color w:val="000000"/>
                <w:spacing w:val="-4"/>
                <w:kern w:val="0"/>
                <w:sz w:val="21"/>
                <w:szCs w:val="21"/>
              </w:rPr>
              <w:t>.划拨使用国有土地审查（0100141002）</w:t>
            </w:r>
          </w:p>
        </w:tc>
        <w:tc>
          <w:tcPr>
            <w:tcW w:w="6580" w:type="dxa"/>
            <w:shd w:val="clear" w:color="000000" w:fill="FFFFFF"/>
            <w:vAlign w:val="center"/>
          </w:tcPr>
          <w:p w14:paraId="008DC327">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【法律】《中华人民共和国土地管理法》第五十四条</w:t>
            </w:r>
          </w:p>
          <w:p w14:paraId="7A185D46">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【行政法规】《中华人民共和国土地管理法实施条例》（国务院令第256号）第二十二条</w:t>
            </w:r>
          </w:p>
        </w:tc>
        <w:tc>
          <w:tcPr>
            <w:tcW w:w="1815" w:type="dxa"/>
            <w:vAlign w:val="center"/>
          </w:tcPr>
          <w:p w14:paraId="593F7029">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1815" w:type="dxa"/>
            <w:vAlign w:val="center"/>
          </w:tcPr>
          <w:p w14:paraId="009173F2">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eastAsia="zh-CN"/>
              </w:rPr>
              <w:t>并入</w:t>
            </w:r>
            <w:r>
              <w:rPr>
                <w:rFonts w:hint="default" w:ascii="Times New Roman" w:hAnsi="Times New Roman" w:eastAsia="仿宋_GB2312" w:cs="Times New Roman"/>
                <w:color w:val="000000"/>
                <w:spacing w:val="-4"/>
                <w:kern w:val="0"/>
                <w:sz w:val="21"/>
                <w:szCs w:val="21"/>
              </w:rPr>
              <w:t>建设用地规划许可证的核发（含建设用地批准书）（0100149000）</w:t>
            </w:r>
          </w:p>
        </w:tc>
      </w:tr>
      <w:tr w14:paraId="73928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50" w:type="dxa"/>
            <w:vMerge w:val="continue"/>
            <w:shd w:val="clear" w:color="000000" w:fill="FFFFFF"/>
            <w:vAlign w:val="center"/>
          </w:tcPr>
          <w:p w14:paraId="5FF1D5ED">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p>
        </w:tc>
        <w:tc>
          <w:tcPr>
            <w:tcW w:w="2655" w:type="dxa"/>
            <w:shd w:val="clear" w:color="000000" w:fill="FFFFFF"/>
            <w:vAlign w:val="center"/>
          </w:tcPr>
          <w:p w14:paraId="6ADA6BB8">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14</w:t>
            </w:r>
            <w:r>
              <w:rPr>
                <w:rFonts w:hint="default" w:ascii="Times New Roman" w:hAnsi="Times New Roman" w:eastAsia="仿宋_GB2312" w:cs="Times New Roman"/>
                <w:color w:val="000000"/>
                <w:spacing w:val="-4"/>
                <w:kern w:val="0"/>
                <w:sz w:val="21"/>
                <w:szCs w:val="21"/>
              </w:rPr>
              <w:t>.有偿使用国有土地审查（0100141003）</w:t>
            </w:r>
          </w:p>
        </w:tc>
        <w:tc>
          <w:tcPr>
            <w:tcW w:w="6580" w:type="dxa"/>
            <w:shd w:val="clear" w:color="000000" w:fill="FFFFFF"/>
            <w:vAlign w:val="center"/>
          </w:tcPr>
          <w:p w14:paraId="05A1459A">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【法律】《中华人民共和国土地管理法》第五十四条</w:t>
            </w:r>
          </w:p>
          <w:p w14:paraId="60E97298">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【行政法规】《中华人民共和国土地管理法实施条例》（国务院令第256号）第二十二条</w:t>
            </w:r>
          </w:p>
        </w:tc>
        <w:tc>
          <w:tcPr>
            <w:tcW w:w="1815" w:type="dxa"/>
            <w:vAlign w:val="center"/>
          </w:tcPr>
          <w:p w14:paraId="10E323EE">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1815" w:type="dxa"/>
            <w:vAlign w:val="center"/>
          </w:tcPr>
          <w:p w14:paraId="02FC05D9">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eastAsia="zh-CN"/>
              </w:rPr>
              <w:t>取消</w:t>
            </w:r>
          </w:p>
        </w:tc>
      </w:tr>
      <w:tr w14:paraId="25848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50" w:type="dxa"/>
            <w:vMerge w:val="restart"/>
            <w:shd w:val="clear" w:color="000000" w:fill="FFFFFF"/>
            <w:vAlign w:val="center"/>
          </w:tcPr>
          <w:p w14:paraId="3AB874DB">
            <w:pPr>
              <w:widowControl/>
              <w:spacing w:line="240" w:lineRule="exact"/>
              <w:ind w:left="-42" w:leftChars="-20" w:right="-42" w:rightChars="-20"/>
              <w:rPr>
                <w:rFonts w:hint="default" w:ascii="Times New Roman" w:hAnsi="Times New Roman" w:eastAsia="仿宋_GB2312" w:cs="Times New Roman"/>
                <w:color w:val="000000"/>
                <w:spacing w:val="-4"/>
                <w:kern w:val="0"/>
                <w:sz w:val="21"/>
                <w:szCs w:val="21"/>
                <w:lang w:val="zh-CN" w:eastAsia="zh-CN" w:bidi="zh-CN"/>
              </w:rPr>
            </w:pPr>
            <w:r>
              <w:rPr>
                <w:rFonts w:hint="eastAsia" w:ascii="Times New Roman" w:hAnsi="Times New Roman" w:eastAsia="仿宋_GB2312" w:cs="Times New Roman"/>
                <w:color w:val="000000"/>
                <w:spacing w:val="-4"/>
                <w:kern w:val="0"/>
                <w:sz w:val="21"/>
                <w:szCs w:val="21"/>
                <w:lang w:val="en-US" w:eastAsia="zh-CN"/>
              </w:rPr>
              <w:t>14</w:t>
            </w:r>
            <w:r>
              <w:rPr>
                <w:rFonts w:hint="default" w:ascii="Times New Roman" w:hAnsi="Times New Roman" w:eastAsia="仿宋_GB2312" w:cs="Times New Roman"/>
                <w:color w:val="000000"/>
                <w:spacing w:val="-4"/>
                <w:kern w:val="0"/>
                <w:sz w:val="21"/>
                <w:szCs w:val="21"/>
              </w:rPr>
              <w:t>.占用或者征收林地的审核或审批（0100450000）</w:t>
            </w:r>
          </w:p>
        </w:tc>
        <w:tc>
          <w:tcPr>
            <w:tcW w:w="2655" w:type="dxa"/>
            <w:shd w:val="clear" w:color="000000" w:fill="FFFFFF"/>
            <w:vAlign w:val="center"/>
          </w:tcPr>
          <w:p w14:paraId="3737FB57">
            <w:pPr>
              <w:widowControl/>
              <w:spacing w:line="240" w:lineRule="exact"/>
              <w:ind w:left="-42" w:leftChars="-20" w:right="-42" w:rightChars="-20"/>
              <w:rPr>
                <w:rFonts w:hint="eastAsia" w:ascii="Times New Roman" w:hAnsi="Times New Roman" w:eastAsia="仿宋_GB2312" w:cs="Times New Roman"/>
                <w:color w:val="000000"/>
                <w:spacing w:val="-4"/>
                <w:kern w:val="0"/>
                <w:sz w:val="21"/>
                <w:szCs w:val="21"/>
                <w:lang w:val="en-US" w:eastAsia="zh-CN"/>
              </w:rPr>
            </w:pPr>
            <w:r>
              <w:rPr>
                <w:rFonts w:hint="default" w:ascii="Times New Roman" w:hAnsi="Times New Roman" w:eastAsia="仿宋_GB2312" w:cs="Times New Roman"/>
                <w:color w:val="000000"/>
                <w:spacing w:val="-4"/>
                <w:kern w:val="0"/>
                <w:sz w:val="21"/>
                <w:szCs w:val="21"/>
              </w:rPr>
              <w:t>1</w:t>
            </w:r>
            <w:r>
              <w:rPr>
                <w:rFonts w:hint="eastAsia" w:ascii="Times New Roman" w:hAnsi="Times New Roman" w:eastAsia="仿宋_GB2312" w:cs="Times New Roman"/>
                <w:color w:val="000000"/>
                <w:spacing w:val="-4"/>
                <w:kern w:val="0"/>
                <w:sz w:val="21"/>
                <w:szCs w:val="21"/>
                <w:lang w:val="en-US" w:eastAsia="zh-CN"/>
              </w:rPr>
              <w:t>5</w:t>
            </w:r>
            <w:r>
              <w:rPr>
                <w:rFonts w:hint="default" w:ascii="Times New Roman" w:hAnsi="Times New Roman" w:eastAsia="仿宋_GB2312" w:cs="Times New Roman"/>
                <w:color w:val="000000"/>
                <w:spacing w:val="-4"/>
                <w:kern w:val="0"/>
                <w:sz w:val="21"/>
                <w:szCs w:val="21"/>
              </w:rPr>
              <w:t>.临时占用林地（0100450002）</w:t>
            </w:r>
          </w:p>
        </w:tc>
        <w:tc>
          <w:tcPr>
            <w:tcW w:w="6580" w:type="dxa"/>
            <w:shd w:val="clear" w:color="000000" w:fill="FFFFFF"/>
            <w:vAlign w:val="center"/>
          </w:tcPr>
          <w:p w14:paraId="28BE6764">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【行政法规】《中华人民共和国森林法实施条例》（国务院令第278号）第十七条　</w:t>
            </w:r>
          </w:p>
        </w:tc>
        <w:tc>
          <w:tcPr>
            <w:tcW w:w="1815" w:type="dxa"/>
            <w:vAlign w:val="center"/>
          </w:tcPr>
          <w:p w14:paraId="32711127">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1815" w:type="dxa"/>
            <w:vAlign w:val="center"/>
          </w:tcPr>
          <w:p w14:paraId="255BD535">
            <w:pPr>
              <w:widowControl/>
              <w:spacing w:line="260" w:lineRule="exact"/>
              <w:ind w:left="-42" w:leftChars="-20" w:right="-42" w:rightChars="-20"/>
              <w:jc w:val="center"/>
              <w:rPr>
                <w:rFonts w:hint="eastAsia" w:ascii="Times New Roman" w:hAnsi="Times New Roman" w:eastAsia="仿宋_GB2312" w:cs="Times New Roman"/>
                <w:color w:val="000000"/>
                <w:spacing w:val="-4"/>
                <w:kern w:val="0"/>
                <w:sz w:val="21"/>
                <w:szCs w:val="21"/>
                <w:lang w:eastAsia="zh-CN"/>
              </w:rPr>
            </w:pPr>
            <w:r>
              <w:rPr>
                <w:rFonts w:hint="eastAsia" w:ascii="Times New Roman" w:hAnsi="Times New Roman" w:eastAsia="仿宋_GB2312" w:cs="Times New Roman"/>
                <w:color w:val="000000"/>
                <w:spacing w:val="-4"/>
                <w:kern w:val="0"/>
                <w:sz w:val="21"/>
                <w:szCs w:val="21"/>
                <w:lang w:eastAsia="zh-CN"/>
              </w:rPr>
              <w:t>取消</w:t>
            </w:r>
          </w:p>
        </w:tc>
      </w:tr>
      <w:tr w14:paraId="59B7F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50" w:type="dxa"/>
            <w:vMerge w:val="continue"/>
            <w:shd w:val="clear" w:color="000000" w:fill="FFFFFF"/>
            <w:vAlign w:val="center"/>
          </w:tcPr>
          <w:p w14:paraId="09EC3A86">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p>
        </w:tc>
        <w:tc>
          <w:tcPr>
            <w:tcW w:w="2655" w:type="dxa"/>
            <w:shd w:val="clear" w:color="000000" w:fill="FFFFFF"/>
            <w:vAlign w:val="center"/>
          </w:tcPr>
          <w:p w14:paraId="321700DA">
            <w:pPr>
              <w:widowControl/>
              <w:spacing w:line="24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1</w:t>
            </w:r>
            <w:r>
              <w:rPr>
                <w:rFonts w:hint="eastAsia" w:ascii="Times New Roman" w:hAnsi="Times New Roman" w:eastAsia="仿宋_GB2312" w:cs="Times New Roman"/>
                <w:color w:val="000000"/>
                <w:spacing w:val="-4"/>
                <w:kern w:val="0"/>
                <w:sz w:val="21"/>
                <w:szCs w:val="21"/>
                <w:lang w:val="en-US" w:eastAsia="zh-CN"/>
              </w:rPr>
              <w:t>6</w:t>
            </w:r>
            <w:r>
              <w:rPr>
                <w:rFonts w:hint="default" w:ascii="Times New Roman" w:hAnsi="Times New Roman" w:eastAsia="仿宋_GB2312" w:cs="Times New Roman"/>
                <w:color w:val="000000"/>
                <w:spacing w:val="-4"/>
                <w:kern w:val="0"/>
                <w:sz w:val="21"/>
                <w:szCs w:val="21"/>
              </w:rPr>
              <w:t>.直接为林业生产服务的项目占用林地</w:t>
            </w:r>
          </w:p>
          <w:p w14:paraId="74D27531">
            <w:pPr>
              <w:widowControl/>
              <w:spacing w:line="240" w:lineRule="exact"/>
              <w:ind w:left="-42" w:leftChars="-20" w:right="-42" w:rightChars="-20"/>
              <w:rPr>
                <w:rFonts w:hint="eastAsia" w:ascii="Times New Roman" w:hAnsi="Times New Roman" w:eastAsia="仿宋_GB2312" w:cs="Times New Roman"/>
                <w:color w:val="000000"/>
                <w:spacing w:val="-4"/>
                <w:kern w:val="0"/>
                <w:sz w:val="21"/>
                <w:szCs w:val="21"/>
                <w:lang w:val="en-US" w:eastAsia="zh-CN"/>
              </w:rPr>
            </w:pPr>
            <w:r>
              <w:rPr>
                <w:rFonts w:hint="default" w:ascii="Times New Roman" w:hAnsi="Times New Roman" w:eastAsia="仿宋_GB2312" w:cs="Times New Roman"/>
                <w:color w:val="000000"/>
                <w:spacing w:val="-4"/>
                <w:kern w:val="0"/>
                <w:sz w:val="21"/>
                <w:szCs w:val="21"/>
              </w:rPr>
              <w:t>（0100450003）</w:t>
            </w:r>
          </w:p>
        </w:tc>
        <w:tc>
          <w:tcPr>
            <w:tcW w:w="6580" w:type="dxa"/>
            <w:shd w:val="clear" w:color="000000" w:fill="FFFFFF"/>
            <w:vAlign w:val="center"/>
          </w:tcPr>
          <w:p w14:paraId="0910808C">
            <w:pPr>
              <w:widowControl/>
              <w:spacing w:line="24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【行政法规】《中华人民共和国森林法实施条例》（国务院令第278号）第十八条</w:t>
            </w:r>
          </w:p>
          <w:p w14:paraId="6A56AA9F">
            <w:pPr>
              <w:widowControl/>
              <w:spacing w:line="24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【地方性法规】《江苏省实施&lt;森林法&gt;办法》 第二十条　</w:t>
            </w:r>
          </w:p>
        </w:tc>
        <w:tc>
          <w:tcPr>
            <w:tcW w:w="1815" w:type="dxa"/>
            <w:vAlign w:val="center"/>
          </w:tcPr>
          <w:p w14:paraId="059C6EB4">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1815" w:type="dxa"/>
            <w:vAlign w:val="center"/>
          </w:tcPr>
          <w:p w14:paraId="17AE0A2F">
            <w:pPr>
              <w:widowControl/>
              <w:spacing w:line="260" w:lineRule="exact"/>
              <w:ind w:left="-42" w:leftChars="-20" w:right="-42" w:rightChars="-20"/>
              <w:jc w:val="center"/>
              <w:rPr>
                <w:rFonts w:hint="eastAsia" w:ascii="Times New Roman" w:hAnsi="Times New Roman" w:eastAsia="仿宋_GB2312" w:cs="Times New Roman"/>
                <w:color w:val="000000"/>
                <w:spacing w:val="-4"/>
                <w:kern w:val="0"/>
                <w:sz w:val="21"/>
                <w:szCs w:val="21"/>
                <w:lang w:eastAsia="zh-CN"/>
              </w:rPr>
            </w:pPr>
            <w:r>
              <w:rPr>
                <w:rFonts w:hint="eastAsia" w:ascii="Times New Roman" w:hAnsi="Times New Roman" w:eastAsia="仿宋_GB2312" w:cs="Times New Roman"/>
                <w:color w:val="000000"/>
                <w:spacing w:val="-4"/>
                <w:kern w:val="0"/>
                <w:sz w:val="21"/>
                <w:szCs w:val="21"/>
                <w:lang w:eastAsia="zh-CN"/>
              </w:rPr>
              <w:t>取消</w:t>
            </w:r>
          </w:p>
        </w:tc>
      </w:tr>
      <w:tr w14:paraId="3B940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2550" w:type="dxa"/>
            <w:shd w:val="clear" w:color="000000" w:fill="FFFFFF"/>
            <w:vAlign w:val="center"/>
          </w:tcPr>
          <w:p w14:paraId="3E16CC21">
            <w:pPr>
              <w:widowControl/>
              <w:spacing w:line="24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1</w:t>
            </w:r>
            <w:r>
              <w:rPr>
                <w:rFonts w:hint="eastAsia" w:ascii="Times New Roman" w:hAnsi="Times New Roman" w:eastAsia="仿宋_GB2312" w:cs="Times New Roman"/>
                <w:color w:val="000000"/>
                <w:spacing w:val="-4"/>
                <w:kern w:val="0"/>
                <w:sz w:val="21"/>
                <w:szCs w:val="21"/>
                <w:lang w:val="en-US" w:eastAsia="zh-CN"/>
              </w:rPr>
              <w:t>5</w:t>
            </w:r>
            <w:r>
              <w:rPr>
                <w:rFonts w:hint="default" w:ascii="Times New Roman" w:hAnsi="Times New Roman" w:eastAsia="仿宋_GB2312" w:cs="Times New Roman"/>
                <w:color w:val="000000"/>
                <w:spacing w:val="-4"/>
                <w:kern w:val="0"/>
                <w:sz w:val="21"/>
                <w:szCs w:val="21"/>
              </w:rPr>
              <w:t>.进入非国家级森林和野生动物类型自然保护区建立机构和修筑设施审批</w:t>
            </w:r>
          </w:p>
          <w:p w14:paraId="2B132AB9">
            <w:pPr>
              <w:widowControl/>
              <w:spacing w:line="24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（0100444000）</w:t>
            </w:r>
          </w:p>
        </w:tc>
        <w:tc>
          <w:tcPr>
            <w:tcW w:w="2655" w:type="dxa"/>
            <w:shd w:val="clear" w:color="000000" w:fill="FFFFFF"/>
            <w:vAlign w:val="center"/>
          </w:tcPr>
          <w:p w14:paraId="64F3665C">
            <w:pPr>
              <w:widowControl/>
              <w:spacing w:line="24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1</w:t>
            </w:r>
            <w:r>
              <w:rPr>
                <w:rFonts w:hint="eastAsia" w:ascii="Times New Roman" w:hAnsi="Times New Roman" w:eastAsia="仿宋_GB2312" w:cs="Times New Roman"/>
                <w:color w:val="000000"/>
                <w:spacing w:val="-4"/>
                <w:kern w:val="0"/>
                <w:sz w:val="21"/>
                <w:szCs w:val="21"/>
                <w:lang w:val="en-US" w:eastAsia="zh-CN"/>
              </w:rPr>
              <w:t>7</w:t>
            </w:r>
            <w:r>
              <w:rPr>
                <w:rFonts w:hint="default" w:ascii="Times New Roman" w:hAnsi="Times New Roman" w:eastAsia="仿宋_GB2312" w:cs="Times New Roman"/>
                <w:color w:val="000000"/>
                <w:spacing w:val="-4"/>
                <w:kern w:val="0"/>
                <w:sz w:val="21"/>
                <w:szCs w:val="21"/>
              </w:rPr>
              <w:t>.进入非国家级森林和野生动物类型自然保护区建立机构和修筑设施审批</w:t>
            </w:r>
          </w:p>
          <w:p w14:paraId="38F3D147">
            <w:pPr>
              <w:widowControl/>
              <w:spacing w:line="240" w:lineRule="exact"/>
              <w:ind w:left="-42" w:leftChars="-20" w:right="-42" w:rightChars="-20"/>
              <w:rPr>
                <w:rFonts w:hint="eastAsia" w:ascii="Times New Roman" w:hAnsi="Times New Roman" w:eastAsia="仿宋_GB2312" w:cs="Times New Roman"/>
                <w:color w:val="000000"/>
                <w:spacing w:val="-4"/>
                <w:kern w:val="0"/>
                <w:sz w:val="21"/>
                <w:szCs w:val="21"/>
                <w:lang w:val="en-US" w:eastAsia="zh-CN"/>
              </w:rPr>
            </w:pPr>
            <w:r>
              <w:rPr>
                <w:rFonts w:hint="default" w:ascii="Times New Roman" w:hAnsi="Times New Roman" w:eastAsia="仿宋_GB2312" w:cs="Times New Roman"/>
                <w:color w:val="000000"/>
                <w:spacing w:val="-4"/>
                <w:kern w:val="0"/>
                <w:sz w:val="21"/>
                <w:szCs w:val="21"/>
              </w:rPr>
              <w:t>（0100444000）</w:t>
            </w:r>
          </w:p>
        </w:tc>
        <w:tc>
          <w:tcPr>
            <w:tcW w:w="6580" w:type="dxa"/>
            <w:shd w:val="clear" w:color="000000" w:fill="FFFFFF"/>
            <w:vAlign w:val="center"/>
          </w:tcPr>
          <w:p w14:paraId="643FDCCE">
            <w:pPr>
              <w:widowControl/>
              <w:spacing w:line="24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【行政法规】《森林和野生动物类型自然保护区管理办法》（国务院批准，林业部发布） 第十一条 </w:t>
            </w:r>
          </w:p>
        </w:tc>
        <w:tc>
          <w:tcPr>
            <w:tcW w:w="1815" w:type="dxa"/>
            <w:vAlign w:val="center"/>
          </w:tcPr>
          <w:p w14:paraId="15ED088D">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1815" w:type="dxa"/>
            <w:vAlign w:val="center"/>
          </w:tcPr>
          <w:p w14:paraId="4F77FFE1">
            <w:pPr>
              <w:widowControl/>
              <w:spacing w:line="260" w:lineRule="exact"/>
              <w:ind w:left="-42" w:leftChars="-20" w:right="-42" w:rightChars="-20"/>
              <w:jc w:val="center"/>
              <w:rPr>
                <w:rFonts w:hint="eastAsia" w:ascii="Times New Roman" w:hAnsi="Times New Roman" w:eastAsia="仿宋_GB2312" w:cs="Times New Roman"/>
                <w:color w:val="000000"/>
                <w:spacing w:val="-4"/>
                <w:kern w:val="0"/>
                <w:sz w:val="21"/>
                <w:szCs w:val="21"/>
                <w:lang w:eastAsia="zh-CN"/>
              </w:rPr>
            </w:pPr>
            <w:r>
              <w:rPr>
                <w:rFonts w:hint="eastAsia" w:ascii="Times New Roman" w:hAnsi="Times New Roman" w:eastAsia="仿宋_GB2312" w:cs="Times New Roman"/>
                <w:color w:val="000000"/>
                <w:spacing w:val="-4"/>
                <w:kern w:val="0"/>
                <w:sz w:val="21"/>
                <w:szCs w:val="21"/>
                <w:lang w:eastAsia="zh-CN"/>
              </w:rPr>
              <w:t>取消</w:t>
            </w:r>
          </w:p>
        </w:tc>
      </w:tr>
      <w:tr w14:paraId="26AAB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50" w:type="dxa"/>
            <w:shd w:val="clear" w:color="000000" w:fill="FFFFFF"/>
            <w:vAlign w:val="center"/>
          </w:tcPr>
          <w:p w14:paraId="214BBD50">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16</w:t>
            </w:r>
            <w:r>
              <w:rPr>
                <w:rFonts w:hint="default" w:ascii="Times New Roman" w:hAnsi="Times New Roman" w:eastAsia="仿宋_GB2312" w:cs="Times New Roman"/>
                <w:color w:val="000000"/>
                <w:spacing w:val="-4"/>
                <w:kern w:val="0"/>
                <w:sz w:val="21"/>
                <w:szCs w:val="21"/>
              </w:rPr>
              <w:t>.招标文件备案（1000216000）</w:t>
            </w:r>
          </w:p>
        </w:tc>
        <w:tc>
          <w:tcPr>
            <w:tcW w:w="2655" w:type="dxa"/>
            <w:shd w:val="clear" w:color="000000" w:fill="FFFFFF"/>
            <w:vAlign w:val="center"/>
          </w:tcPr>
          <w:p w14:paraId="207D527D">
            <w:pPr>
              <w:widowControl/>
              <w:spacing w:line="260" w:lineRule="exact"/>
              <w:ind w:right="-42" w:rightChars="-20"/>
              <w:rPr>
                <w:rFonts w:hint="eastAsia" w:ascii="Times New Roman" w:hAnsi="Times New Roman" w:eastAsia="仿宋_GB2312" w:cs="Times New Roman"/>
                <w:color w:val="000000"/>
                <w:spacing w:val="-4"/>
                <w:kern w:val="0"/>
                <w:sz w:val="21"/>
                <w:szCs w:val="21"/>
                <w:lang w:val="en-US" w:eastAsia="zh-CN"/>
              </w:rPr>
            </w:pPr>
            <w:r>
              <w:rPr>
                <w:rFonts w:hint="eastAsia" w:ascii="Times New Roman" w:hAnsi="Times New Roman" w:eastAsia="仿宋_GB2312" w:cs="Times New Roman"/>
                <w:color w:val="000000"/>
                <w:spacing w:val="-4"/>
                <w:kern w:val="0"/>
                <w:sz w:val="21"/>
                <w:szCs w:val="21"/>
                <w:lang w:val="en-US" w:eastAsia="zh-CN"/>
              </w:rPr>
              <w:t>18</w:t>
            </w:r>
            <w:r>
              <w:rPr>
                <w:rFonts w:hint="default" w:ascii="Times New Roman" w:hAnsi="Times New Roman" w:eastAsia="仿宋_GB2312" w:cs="Times New Roman"/>
                <w:color w:val="000000"/>
                <w:spacing w:val="-4"/>
                <w:kern w:val="0"/>
                <w:sz w:val="21"/>
                <w:szCs w:val="21"/>
              </w:rPr>
              <w:t>.招标文件备案（1000216000）</w:t>
            </w:r>
          </w:p>
        </w:tc>
        <w:tc>
          <w:tcPr>
            <w:tcW w:w="6580" w:type="dxa"/>
            <w:shd w:val="clear" w:color="000000" w:fill="FFFFFF"/>
            <w:vAlign w:val="center"/>
          </w:tcPr>
          <w:p w14:paraId="499323D7">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【规章】《房屋建筑和市政基础设施工程施工招标投标管理办法》（建设部令第89号发布，2019年根据住房和城乡建设部令第47号修改）第十八条  </w:t>
            </w:r>
          </w:p>
        </w:tc>
        <w:tc>
          <w:tcPr>
            <w:tcW w:w="1815" w:type="dxa"/>
            <w:vAlign w:val="center"/>
          </w:tcPr>
          <w:p w14:paraId="62E5D728">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其他</w:t>
            </w:r>
          </w:p>
        </w:tc>
        <w:tc>
          <w:tcPr>
            <w:tcW w:w="1815" w:type="dxa"/>
            <w:vAlign w:val="center"/>
          </w:tcPr>
          <w:p w14:paraId="552BE679">
            <w:pPr>
              <w:widowControl/>
              <w:spacing w:line="260" w:lineRule="exact"/>
              <w:ind w:left="-42" w:leftChars="-20" w:right="-42" w:rightChars="-20"/>
              <w:jc w:val="center"/>
              <w:rPr>
                <w:rFonts w:hint="eastAsia" w:ascii="Times New Roman" w:hAnsi="Times New Roman" w:eastAsia="仿宋_GB2312" w:cs="Times New Roman"/>
                <w:color w:val="000000"/>
                <w:spacing w:val="-4"/>
                <w:kern w:val="0"/>
                <w:sz w:val="21"/>
                <w:szCs w:val="21"/>
                <w:lang w:eastAsia="zh-CN"/>
              </w:rPr>
            </w:pPr>
            <w:r>
              <w:rPr>
                <w:rFonts w:hint="eastAsia" w:ascii="Times New Roman" w:hAnsi="Times New Roman" w:eastAsia="仿宋_GB2312" w:cs="Times New Roman"/>
                <w:color w:val="000000"/>
                <w:spacing w:val="-4"/>
                <w:kern w:val="0"/>
                <w:sz w:val="21"/>
                <w:szCs w:val="21"/>
                <w:lang w:eastAsia="zh-CN"/>
              </w:rPr>
              <w:t>取消</w:t>
            </w:r>
          </w:p>
        </w:tc>
      </w:tr>
      <w:tr w14:paraId="432A2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50" w:type="dxa"/>
            <w:vMerge w:val="restart"/>
            <w:shd w:val="clear" w:color="000000" w:fill="FFFFFF"/>
            <w:vAlign w:val="center"/>
          </w:tcPr>
          <w:p w14:paraId="295CB55B">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17</w:t>
            </w:r>
            <w:r>
              <w:rPr>
                <w:rFonts w:hint="default" w:ascii="Times New Roman" w:hAnsi="Times New Roman" w:eastAsia="仿宋_GB2312" w:cs="Times New Roman"/>
                <w:color w:val="000000"/>
                <w:spacing w:val="-4"/>
                <w:kern w:val="0"/>
                <w:sz w:val="21"/>
                <w:szCs w:val="21"/>
              </w:rPr>
              <w:t>.市政设施建设类审批</w:t>
            </w:r>
          </w:p>
          <w:p w14:paraId="4EDF5C6C">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lang w:val="zh-CN" w:eastAsia="zh-CN" w:bidi="zh-CN"/>
              </w:rPr>
            </w:pPr>
            <w:r>
              <w:rPr>
                <w:rFonts w:hint="default" w:ascii="Times New Roman" w:hAnsi="Times New Roman" w:eastAsia="仿宋_GB2312" w:cs="Times New Roman"/>
                <w:color w:val="000000"/>
                <w:spacing w:val="-4"/>
                <w:kern w:val="0"/>
                <w:sz w:val="21"/>
                <w:szCs w:val="21"/>
              </w:rPr>
              <w:t>（0100166000）</w:t>
            </w:r>
          </w:p>
        </w:tc>
        <w:tc>
          <w:tcPr>
            <w:tcW w:w="2655" w:type="dxa"/>
            <w:shd w:val="clear" w:color="000000" w:fill="FFFFFF"/>
            <w:vAlign w:val="center"/>
          </w:tcPr>
          <w:p w14:paraId="2A48AEC5">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19</w:t>
            </w:r>
            <w:r>
              <w:rPr>
                <w:rFonts w:hint="default" w:ascii="Times New Roman" w:hAnsi="Times New Roman" w:eastAsia="仿宋_GB2312" w:cs="Times New Roman"/>
                <w:color w:val="000000"/>
                <w:spacing w:val="-4"/>
                <w:kern w:val="0"/>
                <w:sz w:val="21"/>
                <w:szCs w:val="21"/>
              </w:rPr>
              <w:t>.依附于城市道路建设各种管线、杆线等设施审批</w:t>
            </w:r>
          </w:p>
          <w:p w14:paraId="22A22C4D">
            <w:pPr>
              <w:widowControl/>
              <w:spacing w:line="260" w:lineRule="exact"/>
              <w:ind w:left="-42" w:leftChars="-20" w:right="-42" w:rightChars="-20"/>
              <w:rPr>
                <w:rFonts w:hint="eastAsia" w:ascii="Times New Roman" w:hAnsi="Times New Roman" w:eastAsia="仿宋_GB2312" w:cs="Times New Roman"/>
                <w:color w:val="000000"/>
                <w:spacing w:val="-4"/>
                <w:kern w:val="0"/>
                <w:sz w:val="21"/>
                <w:szCs w:val="21"/>
                <w:lang w:val="en-US" w:eastAsia="zh-CN"/>
              </w:rPr>
            </w:pPr>
            <w:r>
              <w:rPr>
                <w:rFonts w:hint="default" w:ascii="Times New Roman" w:hAnsi="Times New Roman" w:eastAsia="仿宋_GB2312" w:cs="Times New Roman"/>
                <w:color w:val="000000"/>
                <w:spacing w:val="-4"/>
                <w:kern w:val="0"/>
                <w:sz w:val="21"/>
                <w:szCs w:val="21"/>
              </w:rPr>
              <w:t>（0100166002）</w:t>
            </w:r>
          </w:p>
        </w:tc>
        <w:tc>
          <w:tcPr>
            <w:tcW w:w="6580" w:type="dxa"/>
            <w:shd w:val="clear" w:color="000000" w:fill="FFFFFF"/>
            <w:vAlign w:val="center"/>
          </w:tcPr>
          <w:p w14:paraId="49B67F60">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【行政法规】《城市道路管理条例》（国务院令第198号发布，国务院令第710号修改）第二十九条 </w:t>
            </w:r>
          </w:p>
        </w:tc>
        <w:tc>
          <w:tcPr>
            <w:tcW w:w="1815" w:type="dxa"/>
            <w:vAlign w:val="center"/>
          </w:tcPr>
          <w:p w14:paraId="3C1FCF81">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1815" w:type="dxa"/>
            <w:vMerge w:val="restart"/>
            <w:vAlign w:val="center"/>
          </w:tcPr>
          <w:p w14:paraId="3E8EE7B0">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eastAsia="zh-CN"/>
              </w:rPr>
              <w:t>并入事项“占用</w:t>
            </w:r>
            <w:r>
              <w:rPr>
                <w:rFonts w:hint="default" w:ascii="Times New Roman" w:hAnsi="Times New Roman" w:eastAsia="仿宋_GB2312" w:cs="Times New Roman"/>
                <w:color w:val="000000"/>
                <w:spacing w:val="-4"/>
                <w:kern w:val="0"/>
                <w:sz w:val="21"/>
                <w:szCs w:val="21"/>
              </w:rPr>
              <w:t>、挖掘城市道路审批</w:t>
            </w:r>
          </w:p>
          <w:p w14:paraId="3EBBADD4">
            <w:pPr>
              <w:widowControl/>
              <w:spacing w:line="260" w:lineRule="exact"/>
              <w:ind w:left="-42" w:leftChars="-20" w:right="-42" w:rightChars="-20"/>
              <w:jc w:val="center"/>
              <w:rPr>
                <w:rFonts w:hint="eastAsia" w:ascii="Times New Roman" w:hAnsi="Times New Roman" w:eastAsia="仿宋_GB2312" w:cs="Times New Roman"/>
                <w:color w:val="000000"/>
                <w:spacing w:val="-4"/>
                <w:kern w:val="0"/>
                <w:sz w:val="21"/>
                <w:szCs w:val="21"/>
                <w:lang w:eastAsia="zh-CN"/>
              </w:rPr>
            </w:pPr>
            <w:r>
              <w:rPr>
                <w:rFonts w:hint="default" w:ascii="Times New Roman" w:hAnsi="Times New Roman" w:eastAsia="仿宋_GB2312" w:cs="Times New Roman"/>
                <w:color w:val="000000"/>
                <w:spacing w:val="-4"/>
                <w:kern w:val="0"/>
                <w:sz w:val="21"/>
                <w:szCs w:val="21"/>
              </w:rPr>
              <w:t>（0100166001）</w:t>
            </w:r>
            <w:r>
              <w:rPr>
                <w:rFonts w:hint="eastAsia" w:ascii="Times New Roman" w:hAnsi="Times New Roman" w:eastAsia="仿宋_GB2312" w:cs="Times New Roman"/>
                <w:color w:val="000000"/>
                <w:spacing w:val="-4"/>
                <w:kern w:val="0"/>
                <w:sz w:val="21"/>
                <w:szCs w:val="21"/>
                <w:lang w:eastAsia="zh-CN"/>
              </w:rPr>
              <w:t>”</w:t>
            </w:r>
          </w:p>
        </w:tc>
      </w:tr>
      <w:tr w14:paraId="68000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50" w:type="dxa"/>
            <w:vMerge w:val="continue"/>
            <w:shd w:val="clear" w:color="000000" w:fill="FFFFFF"/>
            <w:vAlign w:val="center"/>
          </w:tcPr>
          <w:p w14:paraId="3B700A50">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p>
        </w:tc>
        <w:tc>
          <w:tcPr>
            <w:tcW w:w="2655" w:type="dxa"/>
            <w:shd w:val="clear" w:color="000000" w:fill="FFFFFF"/>
            <w:vAlign w:val="center"/>
          </w:tcPr>
          <w:p w14:paraId="6096B267">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20</w:t>
            </w:r>
            <w:r>
              <w:rPr>
                <w:rFonts w:hint="default" w:ascii="Times New Roman" w:hAnsi="Times New Roman" w:eastAsia="仿宋_GB2312" w:cs="Times New Roman"/>
                <w:color w:val="000000"/>
                <w:spacing w:val="-4"/>
                <w:kern w:val="0"/>
                <w:sz w:val="21"/>
                <w:szCs w:val="21"/>
              </w:rPr>
              <w:t>.城市桥梁上架设各类市政管线审批</w:t>
            </w:r>
          </w:p>
          <w:p w14:paraId="0653C609">
            <w:pPr>
              <w:widowControl/>
              <w:spacing w:line="260" w:lineRule="exact"/>
              <w:ind w:left="-42" w:leftChars="-20" w:right="-42" w:rightChars="-20"/>
              <w:rPr>
                <w:rFonts w:hint="eastAsia" w:ascii="Times New Roman" w:hAnsi="Times New Roman" w:eastAsia="仿宋_GB2312" w:cs="Times New Roman"/>
                <w:color w:val="000000"/>
                <w:spacing w:val="-4"/>
                <w:kern w:val="0"/>
                <w:sz w:val="21"/>
                <w:szCs w:val="21"/>
                <w:lang w:val="en-US" w:eastAsia="zh-CN"/>
              </w:rPr>
            </w:pPr>
            <w:r>
              <w:rPr>
                <w:rFonts w:hint="default" w:ascii="Times New Roman" w:hAnsi="Times New Roman" w:eastAsia="仿宋_GB2312" w:cs="Times New Roman"/>
                <w:color w:val="000000"/>
                <w:spacing w:val="-4"/>
                <w:kern w:val="0"/>
                <w:sz w:val="21"/>
                <w:szCs w:val="21"/>
              </w:rPr>
              <w:t>（0100166003）</w:t>
            </w:r>
          </w:p>
        </w:tc>
        <w:tc>
          <w:tcPr>
            <w:tcW w:w="6580" w:type="dxa"/>
            <w:shd w:val="clear" w:color="000000" w:fill="FFFFFF"/>
            <w:vAlign w:val="center"/>
          </w:tcPr>
          <w:p w14:paraId="732B5C3D">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【法律】《中华人民共和国道路交通安全法》第三十二条　</w:t>
            </w:r>
          </w:p>
          <w:p w14:paraId="70458727">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【行政法规】《国务院对确需保留的行政审批项目设定行政许可的决定》（国务院第412号令公布，国务院令第671号修改）</w:t>
            </w:r>
          </w:p>
          <w:p w14:paraId="715EFA14">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附件第109项 </w:t>
            </w:r>
          </w:p>
          <w:p w14:paraId="6289B27F">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【规章】《城市桥梁检测和养护维修管理办法》（建设部令第118号）第十七条 </w:t>
            </w:r>
          </w:p>
        </w:tc>
        <w:tc>
          <w:tcPr>
            <w:tcW w:w="1815" w:type="dxa"/>
            <w:vAlign w:val="center"/>
          </w:tcPr>
          <w:p w14:paraId="23CFA0E6">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1815" w:type="dxa"/>
            <w:vMerge w:val="continue"/>
            <w:vAlign w:val="center"/>
          </w:tcPr>
          <w:p w14:paraId="7ADAA358">
            <w:pPr>
              <w:widowControl/>
              <w:spacing w:line="260" w:lineRule="exact"/>
              <w:ind w:left="-42" w:leftChars="-20" w:right="-42" w:rightChars="-20"/>
              <w:jc w:val="center"/>
              <w:rPr>
                <w:rFonts w:hint="eastAsia" w:ascii="Times New Roman" w:hAnsi="Times New Roman" w:eastAsia="仿宋_GB2312" w:cs="Times New Roman"/>
                <w:color w:val="000000"/>
                <w:spacing w:val="-4"/>
                <w:kern w:val="0"/>
                <w:sz w:val="21"/>
                <w:szCs w:val="21"/>
                <w:lang w:eastAsia="zh-CN"/>
              </w:rPr>
            </w:pPr>
          </w:p>
        </w:tc>
      </w:tr>
      <w:tr w14:paraId="2B476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50" w:type="dxa"/>
            <w:vMerge w:val="continue"/>
            <w:shd w:val="clear" w:color="000000" w:fill="FFFFFF"/>
            <w:vAlign w:val="center"/>
          </w:tcPr>
          <w:p w14:paraId="7ED1DBD3">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p>
        </w:tc>
        <w:tc>
          <w:tcPr>
            <w:tcW w:w="2655" w:type="dxa"/>
            <w:shd w:val="clear" w:color="000000" w:fill="FFFFFF"/>
            <w:vAlign w:val="center"/>
          </w:tcPr>
          <w:p w14:paraId="7B68DD44">
            <w:pPr>
              <w:widowControl/>
              <w:spacing w:line="260" w:lineRule="exact"/>
              <w:ind w:left="-42" w:leftChars="-20" w:right="-42" w:rightChars="-20"/>
              <w:rPr>
                <w:rFonts w:hint="eastAsia" w:ascii="Times New Roman" w:hAnsi="Times New Roman" w:eastAsia="仿宋_GB2312" w:cs="Times New Roman"/>
                <w:color w:val="000000"/>
                <w:spacing w:val="-4"/>
                <w:kern w:val="0"/>
                <w:sz w:val="21"/>
                <w:szCs w:val="21"/>
                <w:lang w:val="en-US" w:eastAsia="zh-CN"/>
              </w:rPr>
            </w:pPr>
            <w:r>
              <w:rPr>
                <w:rFonts w:hint="eastAsia" w:ascii="Times New Roman" w:hAnsi="Times New Roman" w:eastAsia="仿宋_GB2312" w:cs="Times New Roman"/>
                <w:color w:val="000000"/>
                <w:spacing w:val="-4"/>
                <w:kern w:val="0"/>
                <w:sz w:val="21"/>
                <w:szCs w:val="21"/>
                <w:lang w:val="en-US" w:eastAsia="zh-CN"/>
              </w:rPr>
              <w:t>21</w:t>
            </w:r>
            <w:r>
              <w:rPr>
                <w:rFonts w:hint="default" w:ascii="Times New Roman" w:hAnsi="Times New Roman" w:eastAsia="仿宋_GB2312" w:cs="Times New Roman"/>
                <w:color w:val="000000"/>
                <w:spacing w:val="-4"/>
                <w:kern w:val="0"/>
                <w:sz w:val="21"/>
                <w:szCs w:val="21"/>
              </w:rPr>
              <w:t>.环境卫生设施拆迁方案的批准（0100179000）</w:t>
            </w:r>
          </w:p>
        </w:tc>
        <w:tc>
          <w:tcPr>
            <w:tcW w:w="6580" w:type="dxa"/>
            <w:shd w:val="clear" w:color="000000" w:fill="FFFFFF"/>
            <w:vAlign w:val="center"/>
          </w:tcPr>
          <w:p w14:paraId="238DEE12">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【行政法规】《城市市容和环境卫生管理条例》（国务院令第101号,2011年1月8日根据《国务院关于废止和修改部分行政法规的决定》修正）第二十二条 </w:t>
            </w:r>
          </w:p>
          <w:p w14:paraId="79DCD9D7">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【地方性法规】《江苏省城市市容和环境卫生管理条例》第三十九条第三款 </w:t>
            </w:r>
          </w:p>
        </w:tc>
        <w:tc>
          <w:tcPr>
            <w:tcW w:w="1815" w:type="dxa"/>
            <w:vAlign w:val="center"/>
          </w:tcPr>
          <w:p w14:paraId="71E5A1AC">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1815" w:type="dxa"/>
            <w:vAlign w:val="center"/>
          </w:tcPr>
          <w:p w14:paraId="6B144A3C">
            <w:pPr>
              <w:widowControl/>
              <w:spacing w:line="260" w:lineRule="exact"/>
              <w:ind w:left="-42" w:leftChars="-20" w:right="-42" w:rightChars="-20"/>
              <w:jc w:val="center"/>
              <w:rPr>
                <w:rFonts w:hint="eastAsia" w:ascii="Times New Roman" w:hAnsi="Times New Roman" w:eastAsia="仿宋_GB2312" w:cs="Times New Roman"/>
                <w:color w:val="000000"/>
                <w:spacing w:val="-4"/>
                <w:kern w:val="0"/>
                <w:sz w:val="21"/>
                <w:szCs w:val="21"/>
                <w:lang w:eastAsia="zh-CN"/>
              </w:rPr>
            </w:pPr>
            <w:r>
              <w:rPr>
                <w:rFonts w:hint="eastAsia" w:ascii="Times New Roman" w:hAnsi="Times New Roman" w:eastAsia="仿宋_GB2312" w:cs="Times New Roman"/>
                <w:color w:val="000000"/>
                <w:spacing w:val="-4"/>
                <w:kern w:val="0"/>
                <w:sz w:val="21"/>
                <w:szCs w:val="21"/>
                <w:lang w:eastAsia="zh-CN"/>
              </w:rPr>
              <w:t>取消</w:t>
            </w:r>
          </w:p>
        </w:tc>
      </w:tr>
      <w:tr w14:paraId="2E1D0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50" w:type="dxa"/>
            <w:vMerge w:val="restart"/>
            <w:shd w:val="clear" w:color="000000" w:fill="FFFFFF"/>
            <w:vAlign w:val="center"/>
          </w:tcPr>
          <w:p w14:paraId="3828958B">
            <w:pPr>
              <w:widowControl/>
              <w:spacing w:line="260" w:lineRule="exact"/>
              <w:ind w:left="-42" w:leftChars="-20" w:right="-42" w:rightChars="-20"/>
              <w:jc w:val="left"/>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18</w:t>
            </w:r>
            <w:r>
              <w:rPr>
                <w:rFonts w:hint="default" w:ascii="Times New Roman" w:hAnsi="Times New Roman" w:eastAsia="仿宋_GB2312" w:cs="Times New Roman"/>
                <w:color w:val="000000"/>
                <w:spacing w:val="-4"/>
                <w:kern w:val="0"/>
                <w:sz w:val="21"/>
                <w:szCs w:val="21"/>
              </w:rPr>
              <w:t>.不（公开）招标项目的批准</w:t>
            </w:r>
          </w:p>
          <w:p w14:paraId="188D2C8B">
            <w:pPr>
              <w:widowControl/>
              <w:spacing w:line="260" w:lineRule="exact"/>
              <w:ind w:left="-42" w:leftChars="-20" w:right="-42" w:rightChars="-20"/>
              <w:jc w:val="left"/>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（0100159000）</w:t>
            </w:r>
          </w:p>
        </w:tc>
        <w:tc>
          <w:tcPr>
            <w:tcW w:w="2655" w:type="dxa"/>
            <w:shd w:val="clear" w:color="000000" w:fill="FFFFFF"/>
            <w:vAlign w:val="center"/>
          </w:tcPr>
          <w:p w14:paraId="63D0121A">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22.</w:t>
            </w:r>
            <w:r>
              <w:rPr>
                <w:rFonts w:hint="default" w:ascii="Times New Roman" w:hAnsi="Times New Roman" w:eastAsia="仿宋_GB2312" w:cs="Times New Roman"/>
                <w:color w:val="000000"/>
                <w:spacing w:val="-4"/>
                <w:kern w:val="0"/>
                <w:sz w:val="21"/>
                <w:szCs w:val="21"/>
              </w:rPr>
              <w:t>不宜公开招标项目的批准</w:t>
            </w:r>
          </w:p>
          <w:p w14:paraId="3109A31D">
            <w:pPr>
              <w:widowControl/>
              <w:spacing w:line="260" w:lineRule="exact"/>
              <w:ind w:left="-42" w:leftChars="-20" w:right="-42" w:rightChars="-20"/>
              <w:rPr>
                <w:rFonts w:hint="eastAsia" w:ascii="Times New Roman" w:hAnsi="Times New Roman" w:eastAsia="仿宋_GB2312" w:cs="Times New Roman"/>
                <w:color w:val="000000"/>
                <w:spacing w:val="-4"/>
                <w:kern w:val="0"/>
                <w:sz w:val="21"/>
                <w:szCs w:val="21"/>
                <w:lang w:val="en-US" w:eastAsia="zh-CN"/>
              </w:rPr>
            </w:pPr>
            <w:r>
              <w:rPr>
                <w:rFonts w:hint="default" w:ascii="Times New Roman" w:hAnsi="Times New Roman" w:eastAsia="仿宋_GB2312" w:cs="Times New Roman"/>
                <w:color w:val="000000"/>
                <w:spacing w:val="-4"/>
                <w:kern w:val="0"/>
                <w:sz w:val="21"/>
                <w:szCs w:val="21"/>
              </w:rPr>
              <w:t>（0100159001）</w:t>
            </w:r>
          </w:p>
        </w:tc>
        <w:tc>
          <w:tcPr>
            <w:tcW w:w="6580" w:type="dxa"/>
            <w:shd w:val="clear" w:color="000000" w:fill="FFFFFF"/>
            <w:vAlign w:val="center"/>
          </w:tcPr>
          <w:p w14:paraId="24DBF4D0">
            <w:pPr>
              <w:widowControl/>
              <w:spacing w:line="28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【行政法规】《中华人民共和国招标投标法实施条例》（国务院令第613号）第七条、第八条　</w:t>
            </w:r>
          </w:p>
          <w:p w14:paraId="2292DFE5">
            <w:pPr>
              <w:widowControl/>
              <w:spacing w:line="28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【地方性法规】《江苏省招标投标条例》第九条 </w:t>
            </w:r>
          </w:p>
        </w:tc>
        <w:tc>
          <w:tcPr>
            <w:tcW w:w="1815" w:type="dxa"/>
            <w:vAlign w:val="center"/>
          </w:tcPr>
          <w:p w14:paraId="4BB61DBE">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1815" w:type="dxa"/>
            <w:vAlign w:val="center"/>
          </w:tcPr>
          <w:p w14:paraId="4A681CEC">
            <w:pPr>
              <w:widowControl/>
              <w:spacing w:line="260" w:lineRule="exact"/>
              <w:ind w:left="-42" w:leftChars="-20" w:right="-42" w:rightChars="-20"/>
              <w:jc w:val="center"/>
              <w:rPr>
                <w:rFonts w:hint="eastAsia" w:ascii="Times New Roman" w:hAnsi="Times New Roman" w:eastAsia="仿宋_GB2312" w:cs="Times New Roman"/>
                <w:color w:val="000000"/>
                <w:spacing w:val="-4"/>
                <w:kern w:val="0"/>
                <w:sz w:val="21"/>
                <w:szCs w:val="21"/>
                <w:lang w:eastAsia="zh-CN"/>
              </w:rPr>
            </w:pPr>
            <w:r>
              <w:rPr>
                <w:rFonts w:hint="eastAsia" w:ascii="Times New Roman" w:hAnsi="Times New Roman" w:eastAsia="仿宋_GB2312" w:cs="Times New Roman"/>
                <w:color w:val="000000"/>
                <w:spacing w:val="-4"/>
                <w:kern w:val="0"/>
                <w:sz w:val="21"/>
                <w:szCs w:val="21"/>
                <w:lang w:eastAsia="zh-CN"/>
              </w:rPr>
              <w:t>取消</w:t>
            </w:r>
          </w:p>
        </w:tc>
      </w:tr>
      <w:tr w14:paraId="34985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50" w:type="dxa"/>
            <w:vMerge w:val="continue"/>
            <w:shd w:val="clear" w:color="000000" w:fill="FFFFFF"/>
            <w:vAlign w:val="center"/>
          </w:tcPr>
          <w:p w14:paraId="50DD246B">
            <w:pPr>
              <w:widowControl/>
              <w:spacing w:line="260" w:lineRule="exact"/>
              <w:ind w:left="-42" w:leftChars="-20" w:right="-42" w:rightChars="-20"/>
              <w:jc w:val="left"/>
              <w:rPr>
                <w:rFonts w:hint="default" w:ascii="Times New Roman" w:hAnsi="Times New Roman" w:eastAsia="仿宋_GB2312" w:cs="Times New Roman"/>
                <w:color w:val="000000"/>
                <w:spacing w:val="-4"/>
                <w:kern w:val="0"/>
                <w:sz w:val="21"/>
                <w:szCs w:val="21"/>
              </w:rPr>
            </w:pPr>
          </w:p>
        </w:tc>
        <w:tc>
          <w:tcPr>
            <w:tcW w:w="2655" w:type="dxa"/>
            <w:shd w:val="clear" w:color="000000" w:fill="FFFFFF"/>
            <w:vAlign w:val="center"/>
          </w:tcPr>
          <w:p w14:paraId="7E00C2DA">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23</w:t>
            </w:r>
            <w:r>
              <w:rPr>
                <w:rFonts w:hint="default" w:ascii="Times New Roman" w:hAnsi="Times New Roman" w:eastAsia="仿宋_GB2312" w:cs="Times New Roman"/>
                <w:color w:val="000000"/>
                <w:spacing w:val="-4"/>
                <w:kern w:val="0"/>
                <w:sz w:val="21"/>
                <w:szCs w:val="21"/>
              </w:rPr>
              <w:t>.应招标工程不招标的审批</w:t>
            </w:r>
          </w:p>
          <w:p w14:paraId="5339E451">
            <w:pPr>
              <w:widowControl/>
              <w:spacing w:line="260" w:lineRule="exact"/>
              <w:ind w:left="-42" w:leftChars="-20" w:right="-42" w:rightChars="-20"/>
              <w:rPr>
                <w:rFonts w:hint="eastAsia" w:ascii="Times New Roman" w:hAnsi="Times New Roman" w:eastAsia="仿宋_GB2312" w:cs="Times New Roman"/>
                <w:color w:val="000000"/>
                <w:spacing w:val="-4"/>
                <w:kern w:val="0"/>
                <w:sz w:val="21"/>
                <w:szCs w:val="21"/>
                <w:lang w:val="en-US" w:eastAsia="zh-CN"/>
              </w:rPr>
            </w:pPr>
            <w:r>
              <w:rPr>
                <w:rFonts w:hint="default" w:ascii="Times New Roman" w:hAnsi="Times New Roman" w:eastAsia="仿宋_GB2312" w:cs="Times New Roman"/>
                <w:color w:val="000000"/>
                <w:spacing w:val="-4"/>
                <w:kern w:val="0"/>
                <w:sz w:val="21"/>
                <w:szCs w:val="21"/>
              </w:rPr>
              <w:t>（0100159002）</w:t>
            </w:r>
          </w:p>
        </w:tc>
        <w:tc>
          <w:tcPr>
            <w:tcW w:w="6580" w:type="dxa"/>
            <w:shd w:val="clear" w:color="000000" w:fill="FFFFFF"/>
            <w:vAlign w:val="center"/>
          </w:tcPr>
          <w:p w14:paraId="5EF476D7">
            <w:pPr>
              <w:widowControl/>
              <w:spacing w:line="28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【法律】《中华人民共和国招标投标法》第六十六条　</w:t>
            </w:r>
          </w:p>
          <w:p w14:paraId="308DB02A">
            <w:pPr>
              <w:widowControl/>
              <w:spacing w:line="28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【行政法规】《中华人民共和国招标投标法实施条例》（国务院令第613号）第九条　</w:t>
            </w:r>
          </w:p>
          <w:p w14:paraId="55931774">
            <w:pPr>
              <w:widowControl/>
              <w:spacing w:line="28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【地方性法规】《江苏省招标投标条例》第十条 </w:t>
            </w:r>
          </w:p>
        </w:tc>
        <w:tc>
          <w:tcPr>
            <w:tcW w:w="1815" w:type="dxa"/>
            <w:vAlign w:val="center"/>
          </w:tcPr>
          <w:p w14:paraId="19D78FDB">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1815" w:type="dxa"/>
            <w:vAlign w:val="center"/>
          </w:tcPr>
          <w:p w14:paraId="68352751">
            <w:pPr>
              <w:widowControl/>
              <w:spacing w:line="260" w:lineRule="exact"/>
              <w:ind w:left="-42" w:leftChars="-20" w:right="-42" w:rightChars="-20"/>
              <w:jc w:val="center"/>
              <w:rPr>
                <w:rFonts w:hint="eastAsia" w:ascii="Times New Roman" w:hAnsi="Times New Roman" w:eastAsia="仿宋_GB2312" w:cs="Times New Roman"/>
                <w:color w:val="000000"/>
                <w:spacing w:val="-4"/>
                <w:kern w:val="0"/>
                <w:sz w:val="21"/>
                <w:szCs w:val="21"/>
                <w:lang w:eastAsia="zh-CN"/>
              </w:rPr>
            </w:pPr>
            <w:r>
              <w:rPr>
                <w:rFonts w:hint="eastAsia" w:ascii="Times New Roman" w:hAnsi="Times New Roman" w:eastAsia="仿宋_GB2312" w:cs="Times New Roman"/>
                <w:color w:val="000000"/>
                <w:spacing w:val="-4"/>
                <w:kern w:val="0"/>
                <w:sz w:val="21"/>
                <w:szCs w:val="21"/>
                <w:lang w:eastAsia="zh-CN"/>
              </w:rPr>
              <w:t>取消</w:t>
            </w:r>
          </w:p>
        </w:tc>
      </w:tr>
      <w:tr w14:paraId="7B1D9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50" w:type="dxa"/>
            <w:shd w:val="clear" w:color="000000" w:fill="FFFFFF"/>
            <w:vAlign w:val="center"/>
          </w:tcPr>
          <w:p w14:paraId="04F8BDE6">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19</w:t>
            </w:r>
            <w:r>
              <w:rPr>
                <w:rFonts w:hint="default" w:ascii="Times New Roman" w:hAnsi="Times New Roman" w:eastAsia="仿宋_GB2312" w:cs="Times New Roman"/>
                <w:color w:val="000000"/>
                <w:spacing w:val="-4"/>
                <w:kern w:val="0"/>
                <w:sz w:val="21"/>
                <w:szCs w:val="21"/>
              </w:rPr>
              <w:t>.建设工程消防设施及系统检测</w:t>
            </w:r>
          </w:p>
        </w:tc>
        <w:tc>
          <w:tcPr>
            <w:tcW w:w="2655" w:type="dxa"/>
            <w:shd w:val="clear" w:color="000000" w:fill="FFFFFF"/>
            <w:vAlign w:val="center"/>
          </w:tcPr>
          <w:p w14:paraId="0003B2C9">
            <w:pPr>
              <w:widowControl/>
              <w:spacing w:line="260" w:lineRule="exact"/>
              <w:ind w:left="-42" w:leftChars="-20" w:right="-42" w:rightChars="-20"/>
              <w:rPr>
                <w:rFonts w:hint="eastAsia" w:ascii="Times New Roman" w:hAnsi="Times New Roman" w:eastAsia="仿宋_GB2312" w:cs="Times New Roman"/>
                <w:color w:val="000000"/>
                <w:spacing w:val="-4"/>
                <w:kern w:val="0"/>
                <w:sz w:val="21"/>
                <w:szCs w:val="21"/>
                <w:lang w:val="en-US" w:eastAsia="zh-CN"/>
              </w:rPr>
            </w:pPr>
            <w:r>
              <w:rPr>
                <w:rFonts w:hint="eastAsia" w:ascii="Times New Roman" w:hAnsi="Times New Roman" w:eastAsia="仿宋_GB2312" w:cs="Times New Roman"/>
                <w:color w:val="000000"/>
                <w:spacing w:val="-4"/>
                <w:kern w:val="0"/>
                <w:sz w:val="21"/>
                <w:szCs w:val="21"/>
                <w:lang w:val="en-US" w:eastAsia="zh-CN"/>
              </w:rPr>
              <w:t>24</w:t>
            </w:r>
            <w:r>
              <w:rPr>
                <w:rFonts w:hint="default" w:ascii="Times New Roman" w:hAnsi="Times New Roman" w:eastAsia="仿宋_GB2312" w:cs="Times New Roman"/>
                <w:color w:val="000000"/>
                <w:spacing w:val="-4"/>
                <w:kern w:val="0"/>
                <w:sz w:val="21"/>
                <w:szCs w:val="21"/>
              </w:rPr>
              <w:t>.建设工程消防设施及系统检测</w:t>
            </w:r>
          </w:p>
        </w:tc>
        <w:tc>
          <w:tcPr>
            <w:tcW w:w="6580" w:type="dxa"/>
            <w:shd w:val="clear" w:color="000000" w:fill="FFFFFF"/>
            <w:vAlign w:val="center"/>
          </w:tcPr>
          <w:p w14:paraId="1D98A2B9">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【规章】《建设工程消防监督管理规定》（公安部令106号发布，公安部令第119号修改）第二十一条　</w:t>
            </w:r>
          </w:p>
        </w:tc>
        <w:tc>
          <w:tcPr>
            <w:tcW w:w="1815" w:type="dxa"/>
            <w:vAlign w:val="center"/>
          </w:tcPr>
          <w:p w14:paraId="48DDAF4A">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强制性评估和中介事项</w:t>
            </w:r>
          </w:p>
        </w:tc>
        <w:tc>
          <w:tcPr>
            <w:tcW w:w="1815" w:type="dxa"/>
            <w:vAlign w:val="center"/>
          </w:tcPr>
          <w:p w14:paraId="3C61636B">
            <w:pPr>
              <w:widowControl/>
              <w:spacing w:line="260" w:lineRule="exact"/>
              <w:ind w:left="-42" w:leftChars="-20" w:right="-42" w:rightChars="-20"/>
              <w:jc w:val="center"/>
              <w:rPr>
                <w:rFonts w:hint="eastAsia" w:ascii="Times New Roman" w:hAnsi="Times New Roman" w:eastAsia="仿宋_GB2312" w:cs="Times New Roman"/>
                <w:color w:val="000000"/>
                <w:spacing w:val="-4"/>
                <w:kern w:val="0"/>
                <w:sz w:val="21"/>
                <w:szCs w:val="21"/>
                <w:lang w:eastAsia="zh-CN"/>
              </w:rPr>
            </w:pPr>
            <w:r>
              <w:rPr>
                <w:rFonts w:hint="eastAsia" w:ascii="Times New Roman" w:hAnsi="Times New Roman" w:eastAsia="仿宋_GB2312" w:cs="Times New Roman"/>
                <w:color w:val="000000"/>
                <w:spacing w:val="-4"/>
                <w:kern w:val="0"/>
                <w:sz w:val="21"/>
                <w:szCs w:val="21"/>
                <w:lang w:eastAsia="zh-CN"/>
              </w:rPr>
              <w:t>取消</w:t>
            </w:r>
          </w:p>
        </w:tc>
      </w:tr>
      <w:tr w14:paraId="55FAF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50" w:type="dxa"/>
            <w:vAlign w:val="center"/>
          </w:tcPr>
          <w:p w14:paraId="38F8FA3C">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20</w:t>
            </w:r>
            <w:r>
              <w:rPr>
                <w:rFonts w:hint="default" w:ascii="Times New Roman" w:hAnsi="Times New Roman" w:eastAsia="仿宋_GB2312" w:cs="Times New Roman"/>
                <w:color w:val="000000"/>
                <w:spacing w:val="-4"/>
                <w:kern w:val="0"/>
                <w:sz w:val="21"/>
                <w:szCs w:val="21"/>
              </w:rPr>
              <w:t>.占用农业灌溉水源、灌排工程设施审批</w:t>
            </w:r>
          </w:p>
          <w:p w14:paraId="779F4F2F">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（0100260000）</w:t>
            </w:r>
          </w:p>
        </w:tc>
        <w:tc>
          <w:tcPr>
            <w:tcW w:w="2655" w:type="dxa"/>
            <w:vAlign w:val="center"/>
          </w:tcPr>
          <w:p w14:paraId="164F76B6">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25</w:t>
            </w:r>
            <w:r>
              <w:rPr>
                <w:rFonts w:hint="default" w:ascii="Times New Roman" w:hAnsi="Times New Roman" w:eastAsia="仿宋_GB2312" w:cs="Times New Roman"/>
                <w:color w:val="000000"/>
                <w:spacing w:val="-4"/>
                <w:kern w:val="0"/>
                <w:sz w:val="21"/>
                <w:szCs w:val="21"/>
              </w:rPr>
              <w:t>.占用农业灌溉水源、灌排工程设施审批</w:t>
            </w:r>
          </w:p>
          <w:p w14:paraId="0F3E0F9E">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（0100260000）</w:t>
            </w:r>
          </w:p>
        </w:tc>
        <w:tc>
          <w:tcPr>
            <w:tcW w:w="6580" w:type="dxa"/>
            <w:vAlign w:val="center"/>
          </w:tcPr>
          <w:p w14:paraId="3B3C0CD2">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【行政法规】《国务院对确需保留的行政许可行政审批项目设定行政许可的决定》（国务院第412号令公布，国务院令第671号修改）第170项</w:t>
            </w:r>
          </w:p>
          <w:p w14:paraId="4B3DA9B6">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【行政法规】《农田水利条例》（国务院令第669号）第二十四条　</w:t>
            </w:r>
          </w:p>
        </w:tc>
        <w:tc>
          <w:tcPr>
            <w:tcW w:w="1815" w:type="dxa"/>
            <w:vAlign w:val="center"/>
          </w:tcPr>
          <w:p w14:paraId="16E954F4">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1815" w:type="dxa"/>
            <w:vAlign w:val="center"/>
          </w:tcPr>
          <w:p w14:paraId="2EA3CC02">
            <w:pPr>
              <w:widowControl/>
              <w:spacing w:line="260" w:lineRule="exact"/>
              <w:ind w:left="-42" w:leftChars="-20" w:right="-42" w:rightChars="-20"/>
              <w:jc w:val="center"/>
              <w:rPr>
                <w:rFonts w:hint="eastAsia" w:ascii="Times New Roman" w:hAnsi="Times New Roman" w:eastAsia="仿宋_GB2312" w:cs="Times New Roman"/>
                <w:color w:val="000000"/>
                <w:spacing w:val="-4"/>
                <w:kern w:val="0"/>
                <w:sz w:val="21"/>
                <w:szCs w:val="21"/>
                <w:lang w:eastAsia="zh-CN"/>
              </w:rPr>
            </w:pPr>
            <w:r>
              <w:rPr>
                <w:rFonts w:hint="eastAsia" w:ascii="Times New Roman" w:hAnsi="Times New Roman" w:eastAsia="仿宋_GB2312" w:cs="Times New Roman"/>
                <w:color w:val="000000"/>
                <w:spacing w:val="-4"/>
                <w:kern w:val="0"/>
                <w:sz w:val="21"/>
                <w:szCs w:val="21"/>
                <w:lang w:eastAsia="zh-CN"/>
              </w:rPr>
              <w:t>取消</w:t>
            </w:r>
          </w:p>
        </w:tc>
      </w:tr>
    </w:tbl>
    <w:p w14:paraId="7B1778F7">
      <w:pPr>
        <w:rPr>
          <w:rFonts w:hint="eastAsia"/>
          <w:color w:val="000000"/>
        </w:rPr>
      </w:pPr>
      <w:r>
        <w:rPr>
          <w:rFonts w:hint="eastAsia"/>
          <w:color w:val="000000"/>
        </w:rPr>
        <w:t xml:space="preserve"> </w:t>
      </w:r>
    </w:p>
    <w:p w14:paraId="594C0AD4">
      <w:pPr>
        <w:rPr>
          <w:rFonts w:hint="eastAsia"/>
          <w:color w:val="000000"/>
        </w:rPr>
      </w:pPr>
    </w:p>
    <w:p w14:paraId="6F27BF5D">
      <w:pPr>
        <w:tabs>
          <w:tab w:val="left" w:pos="829"/>
        </w:tabs>
        <w:bidi w:val="0"/>
        <w:jc w:val="left"/>
        <w:rPr>
          <w:lang w:val="zh-CN" w:eastAsia="zh-CN"/>
        </w:rPr>
      </w:pPr>
    </w:p>
    <w:p w14:paraId="19A02BCD">
      <w:pPr>
        <w:tabs>
          <w:tab w:val="left" w:pos="829"/>
        </w:tabs>
        <w:bidi w:val="0"/>
        <w:jc w:val="left"/>
        <w:rPr>
          <w:lang w:val="zh-CN" w:eastAsia="zh-CN"/>
        </w:rPr>
      </w:pPr>
    </w:p>
    <w:p w14:paraId="24A2EFC0">
      <w:pPr>
        <w:tabs>
          <w:tab w:val="left" w:pos="829"/>
        </w:tabs>
        <w:bidi w:val="0"/>
        <w:jc w:val="left"/>
        <w:rPr>
          <w:lang w:val="zh-CN" w:eastAsia="zh-CN"/>
        </w:rPr>
      </w:pPr>
    </w:p>
    <w:p w14:paraId="6FDC18E4">
      <w:pPr>
        <w:tabs>
          <w:tab w:val="left" w:pos="829"/>
        </w:tabs>
        <w:bidi w:val="0"/>
        <w:jc w:val="left"/>
        <w:rPr>
          <w:lang w:val="zh-CN" w:eastAsia="zh-CN"/>
        </w:rPr>
      </w:pPr>
    </w:p>
    <w:p w14:paraId="1EE7FD9D">
      <w:pPr>
        <w:tabs>
          <w:tab w:val="left" w:pos="829"/>
        </w:tabs>
        <w:bidi w:val="0"/>
        <w:jc w:val="left"/>
        <w:rPr>
          <w:lang w:val="zh-CN" w:eastAsia="zh-CN"/>
        </w:rPr>
      </w:pPr>
    </w:p>
    <w:p w14:paraId="6939063E">
      <w:pPr>
        <w:tabs>
          <w:tab w:val="left" w:pos="829"/>
        </w:tabs>
        <w:bidi w:val="0"/>
        <w:jc w:val="left"/>
        <w:rPr>
          <w:lang w:val="zh-CN" w:eastAsia="zh-CN"/>
        </w:rPr>
      </w:pPr>
    </w:p>
    <w:p w14:paraId="3452DC55">
      <w:pPr>
        <w:tabs>
          <w:tab w:val="left" w:pos="829"/>
        </w:tabs>
        <w:bidi w:val="0"/>
        <w:jc w:val="left"/>
        <w:rPr>
          <w:lang w:val="zh-CN" w:eastAsia="zh-CN"/>
        </w:rPr>
      </w:pPr>
    </w:p>
    <w:p w14:paraId="3384657B">
      <w:pPr>
        <w:tabs>
          <w:tab w:val="left" w:pos="829"/>
        </w:tabs>
        <w:bidi w:val="0"/>
        <w:jc w:val="left"/>
        <w:rPr>
          <w:lang w:val="zh-CN" w:eastAsia="zh-CN"/>
        </w:rPr>
      </w:pPr>
    </w:p>
    <w:p w14:paraId="692265C0">
      <w:pPr>
        <w:tabs>
          <w:tab w:val="left" w:pos="829"/>
        </w:tabs>
        <w:bidi w:val="0"/>
        <w:jc w:val="left"/>
        <w:rPr>
          <w:lang w:val="zh-CN" w:eastAsia="zh-CN"/>
        </w:rPr>
      </w:pPr>
    </w:p>
    <w:p w14:paraId="5C07758D">
      <w:pPr>
        <w:tabs>
          <w:tab w:val="left" w:pos="829"/>
        </w:tabs>
        <w:bidi w:val="0"/>
        <w:jc w:val="left"/>
        <w:rPr>
          <w:lang w:val="zh-CN" w:eastAsia="zh-CN"/>
        </w:rPr>
      </w:pPr>
    </w:p>
    <w:p w14:paraId="47827F31">
      <w:pPr>
        <w:tabs>
          <w:tab w:val="left" w:pos="829"/>
        </w:tabs>
        <w:bidi w:val="0"/>
        <w:jc w:val="left"/>
        <w:rPr>
          <w:lang w:val="zh-CN" w:eastAsia="zh-CN"/>
        </w:rPr>
      </w:pPr>
    </w:p>
    <w:p w14:paraId="2E5369C3">
      <w:pPr>
        <w:tabs>
          <w:tab w:val="left" w:pos="829"/>
        </w:tabs>
        <w:bidi w:val="0"/>
        <w:jc w:val="left"/>
        <w:rPr>
          <w:lang w:val="zh-CN" w:eastAsia="zh-CN"/>
        </w:rPr>
      </w:pPr>
    </w:p>
    <w:p w14:paraId="73C8BA9D">
      <w:pPr>
        <w:tabs>
          <w:tab w:val="left" w:pos="829"/>
        </w:tabs>
        <w:bidi w:val="0"/>
        <w:jc w:val="left"/>
        <w:rPr>
          <w:lang w:val="zh-CN" w:eastAsia="zh-CN"/>
        </w:rPr>
      </w:pPr>
    </w:p>
    <w:p w14:paraId="05C8CB6D">
      <w:pPr>
        <w:tabs>
          <w:tab w:val="left" w:pos="829"/>
        </w:tabs>
        <w:bidi w:val="0"/>
        <w:jc w:val="left"/>
        <w:rPr>
          <w:lang w:val="zh-CN" w:eastAsia="zh-CN"/>
        </w:rPr>
      </w:pPr>
    </w:p>
    <w:p w14:paraId="711D8B9F">
      <w:pPr>
        <w:tabs>
          <w:tab w:val="left" w:pos="829"/>
        </w:tabs>
        <w:bidi w:val="0"/>
        <w:jc w:val="left"/>
        <w:rPr>
          <w:lang w:val="zh-CN" w:eastAsia="zh-CN"/>
        </w:rPr>
      </w:pPr>
    </w:p>
    <w:p w14:paraId="4FAC2936">
      <w:pPr>
        <w:numPr>
          <w:ilvl w:val="0"/>
          <w:numId w:val="0"/>
        </w:numPr>
        <w:rPr>
          <w:rFonts w:hint="default" w:ascii="Times New Roman" w:hAnsi="Times New Roman" w:eastAsia="黑体" w:cs="Times New Roman"/>
          <w:color w:val="000000"/>
          <w:spacing w:val="-4"/>
          <w:kern w:val="0"/>
          <w:sz w:val="32"/>
          <w:szCs w:val="32"/>
        </w:rPr>
      </w:pPr>
      <w:r>
        <w:rPr>
          <w:rFonts w:hint="eastAsia" w:ascii="Times New Roman" w:hAnsi="Times New Roman" w:eastAsia="黑体" w:cs="Times New Roman"/>
          <w:color w:val="000000"/>
          <w:spacing w:val="-4"/>
          <w:kern w:val="0"/>
          <w:sz w:val="32"/>
          <w:szCs w:val="32"/>
          <w:lang w:eastAsia="zh-CN"/>
        </w:rPr>
        <w:t>四、不列入</w:t>
      </w:r>
      <w:r>
        <w:rPr>
          <w:rFonts w:hint="default" w:ascii="Times New Roman" w:hAnsi="Times New Roman" w:eastAsia="黑体" w:cs="Times New Roman"/>
          <w:color w:val="000000"/>
          <w:spacing w:val="-4"/>
          <w:kern w:val="0"/>
          <w:sz w:val="32"/>
          <w:szCs w:val="32"/>
        </w:rPr>
        <w:t>事项（事项</w:t>
      </w:r>
      <w:r>
        <w:rPr>
          <w:rFonts w:hint="eastAsia" w:ascii="Times New Roman" w:hAnsi="Times New Roman" w:eastAsia="黑体" w:cs="Times New Roman"/>
          <w:color w:val="000000"/>
          <w:spacing w:val="-4"/>
          <w:kern w:val="0"/>
          <w:sz w:val="32"/>
          <w:szCs w:val="32"/>
          <w:lang w:val="en-US" w:eastAsia="zh-CN"/>
        </w:rPr>
        <w:t>5</w:t>
      </w:r>
      <w:r>
        <w:rPr>
          <w:rFonts w:hint="default" w:ascii="Times New Roman" w:hAnsi="Times New Roman" w:eastAsia="黑体" w:cs="Times New Roman"/>
          <w:color w:val="000000"/>
          <w:spacing w:val="-4"/>
          <w:kern w:val="0"/>
          <w:sz w:val="32"/>
          <w:szCs w:val="32"/>
        </w:rPr>
        <w:t>项、子项</w:t>
      </w:r>
      <w:r>
        <w:rPr>
          <w:rFonts w:hint="eastAsia" w:ascii="Times New Roman" w:hAnsi="Times New Roman" w:eastAsia="黑体" w:cs="Times New Roman"/>
          <w:color w:val="000000"/>
          <w:spacing w:val="-4"/>
          <w:kern w:val="0"/>
          <w:sz w:val="32"/>
          <w:szCs w:val="32"/>
          <w:lang w:val="en-US" w:eastAsia="zh-CN"/>
        </w:rPr>
        <w:t>9</w:t>
      </w:r>
      <w:r>
        <w:rPr>
          <w:rFonts w:hint="default" w:ascii="Times New Roman" w:hAnsi="Times New Roman" w:eastAsia="黑体" w:cs="Times New Roman"/>
          <w:color w:val="000000"/>
          <w:spacing w:val="-4"/>
          <w:kern w:val="0"/>
          <w:sz w:val="32"/>
          <w:szCs w:val="32"/>
        </w:rPr>
        <w:t>项）</w:t>
      </w:r>
    </w:p>
    <w:tbl>
      <w:tblPr>
        <w:tblStyle w:val="5"/>
        <w:tblW w:w="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4"/>
        <w:gridCol w:w="2182"/>
        <w:gridCol w:w="7347"/>
        <w:gridCol w:w="2166"/>
        <w:gridCol w:w="1770"/>
      </w:tblGrid>
      <w:tr w14:paraId="0A519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blHeader/>
          <w:jc w:val="center"/>
        </w:trPr>
        <w:tc>
          <w:tcPr>
            <w:tcW w:w="4282" w:type="dxa"/>
            <w:gridSpan w:val="2"/>
            <w:vAlign w:val="center"/>
          </w:tcPr>
          <w:p w14:paraId="1131E541">
            <w:pPr>
              <w:widowControl/>
              <w:spacing w:line="260" w:lineRule="exact"/>
              <w:ind w:left="-42" w:leftChars="-20" w:right="-42" w:rightChars="-20"/>
              <w:jc w:val="center"/>
              <w:rPr>
                <w:rFonts w:hint="default" w:ascii="Times New Roman" w:hAnsi="Times New Roman" w:eastAsia="黑体" w:cs="Times New Roman"/>
                <w:color w:val="000000"/>
                <w:spacing w:val="-4"/>
                <w:kern w:val="0"/>
                <w:sz w:val="32"/>
                <w:szCs w:val="32"/>
                <w:vertAlign w:val="baseline"/>
              </w:rPr>
            </w:pPr>
            <w:r>
              <w:rPr>
                <w:rFonts w:hint="default" w:ascii="Times New Roman" w:hAnsi="Times New Roman" w:eastAsia="黑体" w:cs="Times New Roman"/>
                <w:bCs/>
                <w:color w:val="000000"/>
                <w:spacing w:val="-4"/>
                <w:kern w:val="0"/>
                <w:sz w:val="24"/>
                <w:szCs w:val="24"/>
              </w:rPr>
              <w:t>事  项  名  称</w:t>
            </w:r>
          </w:p>
        </w:tc>
        <w:tc>
          <w:tcPr>
            <w:tcW w:w="7380" w:type="dxa"/>
            <w:vMerge w:val="restart"/>
            <w:vAlign w:val="center"/>
          </w:tcPr>
          <w:p w14:paraId="06B4E7EA">
            <w:pPr>
              <w:widowControl/>
              <w:spacing w:line="260" w:lineRule="exact"/>
              <w:ind w:left="-42" w:leftChars="-20" w:right="-42" w:rightChars="-20"/>
              <w:jc w:val="center"/>
              <w:rPr>
                <w:rFonts w:hint="default" w:ascii="Times New Roman" w:hAnsi="Times New Roman" w:eastAsia="黑体" w:cs="Times New Roman"/>
                <w:color w:val="000000"/>
                <w:spacing w:val="-4"/>
                <w:kern w:val="0"/>
                <w:sz w:val="32"/>
                <w:szCs w:val="32"/>
                <w:vertAlign w:val="baseline"/>
              </w:rPr>
            </w:pPr>
            <w:r>
              <w:rPr>
                <w:rFonts w:hint="default" w:ascii="Times New Roman" w:hAnsi="Times New Roman" w:eastAsia="黑体" w:cs="Times New Roman"/>
                <w:bCs/>
                <w:color w:val="000000"/>
                <w:spacing w:val="-4"/>
                <w:kern w:val="0"/>
                <w:sz w:val="24"/>
                <w:szCs w:val="24"/>
              </w:rPr>
              <w:t xml:space="preserve">设        定        依    </w:t>
            </w:r>
            <w:bookmarkStart w:id="1" w:name="_GoBack"/>
            <w:bookmarkEnd w:id="1"/>
            <w:r>
              <w:rPr>
                <w:rFonts w:hint="default" w:ascii="Times New Roman" w:hAnsi="Times New Roman" w:eastAsia="黑体" w:cs="Times New Roman"/>
                <w:bCs/>
                <w:color w:val="000000"/>
                <w:spacing w:val="-4"/>
                <w:kern w:val="0"/>
                <w:sz w:val="24"/>
                <w:szCs w:val="24"/>
              </w:rPr>
              <w:t xml:space="preserve">    据</w:t>
            </w:r>
          </w:p>
        </w:tc>
        <w:tc>
          <w:tcPr>
            <w:tcW w:w="2175" w:type="dxa"/>
            <w:vMerge w:val="restart"/>
            <w:vAlign w:val="center"/>
          </w:tcPr>
          <w:p w14:paraId="6BE51111">
            <w:pPr>
              <w:widowControl/>
              <w:spacing w:line="260" w:lineRule="exact"/>
              <w:ind w:left="-42" w:leftChars="-20" w:right="-42" w:rightChars="-20"/>
              <w:jc w:val="center"/>
              <w:rPr>
                <w:rFonts w:hint="default" w:ascii="Times New Roman" w:hAnsi="Times New Roman" w:eastAsia="黑体" w:cs="Times New Roman"/>
                <w:color w:val="000000"/>
                <w:spacing w:val="-4"/>
                <w:kern w:val="0"/>
                <w:sz w:val="32"/>
                <w:szCs w:val="32"/>
                <w:vertAlign w:val="baseline"/>
              </w:rPr>
            </w:pPr>
            <w:r>
              <w:rPr>
                <w:rFonts w:hint="default" w:ascii="Times New Roman" w:hAnsi="Times New Roman" w:eastAsia="黑体" w:cs="Times New Roman"/>
                <w:bCs/>
                <w:color w:val="000000"/>
                <w:spacing w:val="-4"/>
                <w:kern w:val="0"/>
                <w:sz w:val="24"/>
                <w:szCs w:val="24"/>
              </w:rPr>
              <w:t>事项类型</w:t>
            </w:r>
          </w:p>
        </w:tc>
        <w:tc>
          <w:tcPr>
            <w:tcW w:w="1777" w:type="dxa"/>
            <w:vMerge w:val="restart"/>
            <w:vAlign w:val="center"/>
          </w:tcPr>
          <w:p w14:paraId="72DCCA7A">
            <w:pPr>
              <w:widowControl/>
              <w:spacing w:line="260" w:lineRule="exact"/>
              <w:ind w:left="-42" w:leftChars="-20" w:right="-42" w:rightChars="-20"/>
              <w:jc w:val="center"/>
              <w:rPr>
                <w:rFonts w:hint="default" w:ascii="Times New Roman" w:hAnsi="Times New Roman" w:eastAsia="黑体" w:cs="Times New Roman"/>
                <w:color w:val="000000"/>
                <w:spacing w:val="-4"/>
                <w:kern w:val="0"/>
                <w:sz w:val="32"/>
                <w:szCs w:val="32"/>
                <w:vertAlign w:val="baseline"/>
              </w:rPr>
            </w:pPr>
            <w:r>
              <w:rPr>
                <w:rFonts w:hint="eastAsia" w:ascii="Times New Roman" w:hAnsi="Times New Roman" w:eastAsia="黑体" w:cs="Times New Roman"/>
                <w:bCs/>
                <w:color w:val="000000"/>
                <w:spacing w:val="-4"/>
                <w:kern w:val="0"/>
                <w:sz w:val="24"/>
                <w:szCs w:val="24"/>
                <w:lang w:eastAsia="zh-CN"/>
              </w:rPr>
              <w:t>措施</w:t>
            </w:r>
          </w:p>
        </w:tc>
      </w:tr>
      <w:tr w14:paraId="34772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blHeader/>
          <w:jc w:val="center"/>
        </w:trPr>
        <w:tc>
          <w:tcPr>
            <w:tcW w:w="2097" w:type="dxa"/>
            <w:vAlign w:val="center"/>
          </w:tcPr>
          <w:p w14:paraId="7C3156D1">
            <w:pPr>
              <w:widowControl/>
              <w:spacing w:line="260" w:lineRule="exact"/>
              <w:ind w:left="-42" w:leftChars="-20" w:right="-42" w:rightChars="-20"/>
              <w:jc w:val="center"/>
              <w:rPr>
                <w:rFonts w:hint="default" w:ascii="Times New Roman" w:hAnsi="Times New Roman" w:eastAsia="黑体" w:cs="Times New Roman"/>
                <w:bCs/>
                <w:color w:val="000000"/>
                <w:spacing w:val="-4"/>
                <w:kern w:val="0"/>
                <w:sz w:val="24"/>
                <w:szCs w:val="24"/>
              </w:rPr>
            </w:pPr>
            <w:r>
              <w:rPr>
                <w:rFonts w:hint="default" w:ascii="Times New Roman" w:hAnsi="Times New Roman" w:eastAsia="黑体" w:cs="Times New Roman"/>
                <w:bCs/>
                <w:color w:val="000000"/>
                <w:spacing w:val="-4"/>
                <w:kern w:val="0"/>
                <w:sz w:val="24"/>
                <w:szCs w:val="24"/>
              </w:rPr>
              <w:t>事项名称</w:t>
            </w:r>
          </w:p>
          <w:p w14:paraId="24946E0C">
            <w:pPr>
              <w:widowControl/>
              <w:spacing w:line="260" w:lineRule="exact"/>
              <w:ind w:left="-42" w:leftChars="-20" w:right="-42" w:rightChars="-20"/>
              <w:jc w:val="center"/>
              <w:rPr>
                <w:rFonts w:hint="default" w:ascii="Times New Roman" w:hAnsi="Times New Roman" w:eastAsia="黑体" w:cs="Times New Roman"/>
                <w:color w:val="000000"/>
                <w:spacing w:val="-4"/>
                <w:kern w:val="0"/>
                <w:sz w:val="32"/>
                <w:szCs w:val="32"/>
                <w:vertAlign w:val="baseline"/>
              </w:rPr>
            </w:pPr>
            <w:r>
              <w:rPr>
                <w:rFonts w:hint="default" w:ascii="Times New Roman" w:hAnsi="Times New Roman" w:eastAsia="黑体" w:cs="Times New Roman"/>
                <w:bCs/>
                <w:color w:val="000000"/>
                <w:spacing w:val="-4"/>
                <w:kern w:val="0"/>
                <w:sz w:val="24"/>
                <w:szCs w:val="24"/>
              </w:rPr>
              <w:t>（编码）</w:t>
            </w:r>
          </w:p>
        </w:tc>
        <w:tc>
          <w:tcPr>
            <w:tcW w:w="2185" w:type="dxa"/>
            <w:vAlign w:val="center"/>
          </w:tcPr>
          <w:p w14:paraId="7089C1C3">
            <w:pPr>
              <w:widowControl/>
              <w:spacing w:line="260" w:lineRule="exact"/>
              <w:ind w:left="-42" w:leftChars="-20" w:right="-42" w:rightChars="-20"/>
              <w:jc w:val="center"/>
              <w:rPr>
                <w:rFonts w:hint="default" w:ascii="Times New Roman" w:hAnsi="Times New Roman" w:eastAsia="黑体" w:cs="Times New Roman"/>
                <w:bCs/>
                <w:color w:val="000000"/>
                <w:spacing w:val="-4"/>
                <w:kern w:val="0"/>
                <w:sz w:val="24"/>
                <w:szCs w:val="24"/>
              </w:rPr>
            </w:pPr>
            <w:r>
              <w:rPr>
                <w:rFonts w:hint="default" w:ascii="Times New Roman" w:hAnsi="Times New Roman" w:eastAsia="黑体" w:cs="Times New Roman"/>
                <w:bCs/>
                <w:color w:val="000000"/>
                <w:spacing w:val="-4"/>
                <w:kern w:val="0"/>
                <w:sz w:val="24"/>
                <w:szCs w:val="24"/>
              </w:rPr>
              <w:t>子项名称</w:t>
            </w:r>
          </w:p>
          <w:p w14:paraId="176FBAFE">
            <w:pPr>
              <w:widowControl/>
              <w:spacing w:line="260" w:lineRule="exact"/>
              <w:ind w:left="-42" w:leftChars="-20" w:right="-42" w:rightChars="-20"/>
              <w:jc w:val="center"/>
              <w:rPr>
                <w:rFonts w:hint="default" w:ascii="Times New Roman" w:hAnsi="Times New Roman" w:eastAsia="黑体" w:cs="Times New Roman"/>
                <w:color w:val="000000"/>
                <w:spacing w:val="-4"/>
                <w:kern w:val="0"/>
                <w:sz w:val="32"/>
                <w:szCs w:val="32"/>
                <w:vertAlign w:val="baseline"/>
              </w:rPr>
            </w:pPr>
            <w:r>
              <w:rPr>
                <w:rFonts w:hint="default" w:ascii="Times New Roman" w:hAnsi="Times New Roman" w:eastAsia="黑体" w:cs="Times New Roman"/>
                <w:bCs/>
                <w:color w:val="000000"/>
                <w:spacing w:val="-4"/>
                <w:kern w:val="0"/>
                <w:sz w:val="24"/>
                <w:szCs w:val="24"/>
              </w:rPr>
              <w:t>（编码）</w:t>
            </w:r>
          </w:p>
        </w:tc>
        <w:tc>
          <w:tcPr>
            <w:tcW w:w="7380" w:type="dxa"/>
            <w:vMerge w:val="continue"/>
            <w:vAlign w:val="center"/>
          </w:tcPr>
          <w:p w14:paraId="21242521">
            <w:pPr>
              <w:widowControl/>
              <w:spacing w:line="260" w:lineRule="exact"/>
              <w:ind w:left="-42" w:leftChars="-20" w:right="-42" w:rightChars="-20"/>
              <w:jc w:val="center"/>
              <w:rPr>
                <w:rFonts w:hint="default" w:ascii="Times New Roman" w:hAnsi="Times New Roman" w:eastAsia="黑体" w:cs="Times New Roman"/>
                <w:color w:val="000000"/>
                <w:spacing w:val="-4"/>
                <w:kern w:val="0"/>
                <w:sz w:val="32"/>
                <w:szCs w:val="32"/>
                <w:vertAlign w:val="baseline"/>
              </w:rPr>
            </w:pPr>
          </w:p>
        </w:tc>
        <w:tc>
          <w:tcPr>
            <w:tcW w:w="2175" w:type="dxa"/>
            <w:vMerge w:val="continue"/>
            <w:vAlign w:val="center"/>
          </w:tcPr>
          <w:p w14:paraId="5FF1CFD4">
            <w:pPr>
              <w:widowControl/>
              <w:spacing w:line="260" w:lineRule="exact"/>
              <w:ind w:left="-42" w:leftChars="-20" w:right="-42" w:rightChars="-20"/>
              <w:jc w:val="center"/>
              <w:rPr>
                <w:rFonts w:hint="default" w:ascii="Times New Roman" w:hAnsi="Times New Roman" w:eastAsia="黑体" w:cs="Times New Roman"/>
                <w:color w:val="000000"/>
                <w:spacing w:val="-4"/>
                <w:kern w:val="0"/>
                <w:sz w:val="32"/>
                <w:szCs w:val="32"/>
                <w:vertAlign w:val="baseline"/>
              </w:rPr>
            </w:pPr>
          </w:p>
        </w:tc>
        <w:tc>
          <w:tcPr>
            <w:tcW w:w="1777" w:type="dxa"/>
            <w:vMerge w:val="continue"/>
            <w:vAlign w:val="center"/>
          </w:tcPr>
          <w:p w14:paraId="5D51BC25">
            <w:pPr>
              <w:widowControl/>
              <w:spacing w:line="260" w:lineRule="exact"/>
              <w:ind w:left="-42" w:leftChars="-20" w:right="-42" w:rightChars="-20"/>
              <w:jc w:val="center"/>
              <w:rPr>
                <w:rFonts w:hint="default" w:ascii="Times New Roman" w:hAnsi="Times New Roman" w:eastAsia="黑体" w:cs="Times New Roman"/>
                <w:color w:val="000000"/>
                <w:spacing w:val="-4"/>
                <w:kern w:val="0"/>
                <w:sz w:val="32"/>
                <w:szCs w:val="32"/>
                <w:vertAlign w:val="baseline"/>
              </w:rPr>
            </w:pPr>
          </w:p>
        </w:tc>
      </w:tr>
      <w:tr w14:paraId="52951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7" w:type="dxa"/>
            <w:vAlign w:val="center"/>
          </w:tcPr>
          <w:p w14:paraId="56E139DD">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w:t>
            </w:r>
            <w:r>
              <w:rPr>
                <w:rFonts w:hint="default" w:ascii="Times New Roman" w:hAnsi="Times New Roman" w:eastAsia="仿宋_GB2312" w:cs="Times New Roman"/>
                <w:color w:val="000000"/>
                <w:spacing w:val="-4"/>
                <w:kern w:val="0"/>
                <w:sz w:val="21"/>
                <w:szCs w:val="21"/>
              </w:rPr>
              <w:t>.企业投资技术改造项目核准</w:t>
            </w:r>
          </w:p>
          <w:p w14:paraId="1DC4D362">
            <w:pPr>
              <w:widowControl/>
              <w:spacing w:line="260" w:lineRule="exact"/>
              <w:ind w:left="-42" w:leftChars="-20" w:right="-42" w:rightChars="-20"/>
              <w:rPr>
                <w:rFonts w:hint="default" w:ascii="Times New Roman" w:hAnsi="Times New Roman" w:eastAsia="黑体" w:cs="Times New Roman"/>
                <w:color w:val="000000"/>
                <w:spacing w:val="-4"/>
                <w:kern w:val="0"/>
                <w:sz w:val="32"/>
                <w:szCs w:val="32"/>
                <w:vertAlign w:val="baseline"/>
              </w:rPr>
            </w:pPr>
            <w:r>
              <w:rPr>
                <w:rFonts w:hint="default" w:ascii="Times New Roman" w:hAnsi="Times New Roman" w:eastAsia="仿宋_GB2312" w:cs="Times New Roman"/>
                <w:color w:val="000000"/>
                <w:spacing w:val="-4"/>
                <w:kern w:val="0"/>
                <w:sz w:val="21"/>
                <w:szCs w:val="21"/>
              </w:rPr>
              <w:t>（0100013002）</w:t>
            </w:r>
          </w:p>
        </w:tc>
        <w:tc>
          <w:tcPr>
            <w:tcW w:w="2185" w:type="dxa"/>
            <w:vAlign w:val="center"/>
          </w:tcPr>
          <w:p w14:paraId="40A69579">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1</w:t>
            </w:r>
            <w:r>
              <w:rPr>
                <w:rFonts w:hint="default" w:ascii="Times New Roman" w:hAnsi="Times New Roman" w:eastAsia="仿宋_GB2312" w:cs="Times New Roman"/>
                <w:color w:val="000000"/>
                <w:spacing w:val="-4"/>
                <w:kern w:val="0"/>
                <w:sz w:val="21"/>
                <w:szCs w:val="21"/>
              </w:rPr>
              <w:t>.企业投资技术改造项目核准</w:t>
            </w:r>
          </w:p>
          <w:p w14:paraId="3F1A7236">
            <w:pPr>
              <w:widowControl/>
              <w:spacing w:line="260" w:lineRule="exact"/>
              <w:ind w:left="-42" w:leftChars="-20" w:right="-42" w:rightChars="-20"/>
              <w:rPr>
                <w:rFonts w:hint="default" w:ascii="Times New Roman" w:hAnsi="Times New Roman" w:eastAsia="黑体" w:cs="Times New Roman"/>
                <w:color w:val="000000"/>
                <w:spacing w:val="-4"/>
                <w:kern w:val="0"/>
                <w:sz w:val="32"/>
                <w:szCs w:val="32"/>
                <w:vertAlign w:val="baseline"/>
              </w:rPr>
            </w:pPr>
            <w:r>
              <w:rPr>
                <w:rFonts w:hint="default" w:ascii="Times New Roman" w:hAnsi="Times New Roman" w:eastAsia="仿宋_GB2312" w:cs="Times New Roman"/>
                <w:color w:val="000000"/>
                <w:spacing w:val="-4"/>
                <w:kern w:val="0"/>
                <w:sz w:val="21"/>
                <w:szCs w:val="21"/>
              </w:rPr>
              <w:t>（0100013002）</w:t>
            </w:r>
          </w:p>
        </w:tc>
        <w:tc>
          <w:tcPr>
            <w:tcW w:w="7380" w:type="dxa"/>
            <w:vAlign w:val="center"/>
          </w:tcPr>
          <w:p w14:paraId="391056DF">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【行政法规】《企业投资项目核准和备案管理条例》(中华人民共和国国务院令2016年第673号) 第三条　</w:t>
            </w:r>
          </w:p>
          <w:p w14:paraId="14C48161">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【规章】《企业投资项目核准和备案管理办法》(中华人民共和国国家发展和改革委员会令2017年2号) 第四条 </w:t>
            </w:r>
          </w:p>
          <w:p w14:paraId="70A34A17">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【规范性文件】《关于印发江苏省企业投资项目核准和备案管理办法的通知》（苏政发〔2017〕88号） 第四条 </w:t>
            </w:r>
          </w:p>
          <w:p w14:paraId="00405AA3">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【规范性文件】《国务院关于发布政府核准的投资项目目录（2016年本）的通知》（国发〔2016〕72号） 第一条、第八条</w:t>
            </w:r>
          </w:p>
          <w:p w14:paraId="60C0E16A">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【规范性文件】《省政府关于发布江苏省政府核准的投资项目目录（2017年本）的通知》（苏政发〔2017〕71号）第一条</w:t>
            </w:r>
          </w:p>
          <w:p w14:paraId="0690594C">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【规章】《外商投资项目核准和备案管理办法》（中华人民共和国国家发展和改革委员会令2014第12号）第四条</w:t>
            </w:r>
          </w:p>
          <w:p w14:paraId="617C1585">
            <w:pPr>
              <w:widowControl/>
              <w:spacing w:line="260" w:lineRule="exact"/>
              <w:ind w:left="-42" w:leftChars="-20" w:right="-42" w:rightChars="-20"/>
              <w:rPr>
                <w:rFonts w:hint="default" w:ascii="Times New Roman" w:hAnsi="Times New Roman" w:eastAsia="黑体" w:cs="Times New Roman"/>
                <w:color w:val="000000"/>
                <w:spacing w:val="-4"/>
                <w:kern w:val="0"/>
                <w:sz w:val="32"/>
                <w:szCs w:val="32"/>
                <w:vertAlign w:val="baseline"/>
              </w:rPr>
            </w:pPr>
            <w:r>
              <w:rPr>
                <w:rFonts w:hint="default" w:ascii="Times New Roman" w:hAnsi="Times New Roman" w:eastAsia="仿宋_GB2312" w:cs="Times New Roman"/>
                <w:color w:val="000000"/>
                <w:spacing w:val="-4"/>
                <w:kern w:val="0"/>
                <w:sz w:val="21"/>
                <w:szCs w:val="21"/>
              </w:rPr>
              <w:t xml:space="preserve">【规范性文件】《省政府关于公布企业投资项目省级部门不再审批事项清单（第二批）的决定》（苏政发〔2018〕33号）第3项  </w:t>
            </w:r>
          </w:p>
        </w:tc>
        <w:tc>
          <w:tcPr>
            <w:tcW w:w="2175" w:type="dxa"/>
            <w:vAlign w:val="center"/>
          </w:tcPr>
          <w:p w14:paraId="6F88C800">
            <w:pPr>
              <w:widowControl/>
              <w:spacing w:line="260" w:lineRule="exact"/>
              <w:ind w:left="-42" w:leftChars="-20" w:right="-42" w:rightChars="-20"/>
              <w:jc w:val="center"/>
              <w:rPr>
                <w:rFonts w:hint="default" w:ascii="Times New Roman" w:hAnsi="Times New Roman" w:eastAsia="黑体" w:cs="Times New Roman"/>
                <w:color w:val="000000"/>
                <w:spacing w:val="-4"/>
                <w:kern w:val="0"/>
                <w:sz w:val="32"/>
                <w:szCs w:val="32"/>
                <w:vertAlign w:val="baseline"/>
              </w:rPr>
            </w:pPr>
            <w:r>
              <w:rPr>
                <w:rFonts w:hint="default" w:ascii="Times New Roman" w:hAnsi="Times New Roman" w:eastAsia="仿宋_GB2312" w:cs="Times New Roman"/>
                <w:color w:val="000000"/>
                <w:spacing w:val="-4"/>
                <w:kern w:val="0"/>
                <w:sz w:val="21"/>
                <w:szCs w:val="21"/>
              </w:rPr>
              <w:t>行政许可</w:t>
            </w:r>
          </w:p>
        </w:tc>
        <w:tc>
          <w:tcPr>
            <w:tcW w:w="1777" w:type="dxa"/>
            <w:vAlign w:val="center"/>
          </w:tcPr>
          <w:p w14:paraId="12272E7D">
            <w:pPr>
              <w:widowControl/>
              <w:spacing w:line="260" w:lineRule="exact"/>
              <w:ind w:left="-42" w:leftChars="-20" w:right="-42" w:rightChars="-20"/>
              <w:jc w:val="center"/>
              <w:rPr>
                <w:rFonts w:hint="default" w:ascii="Times New Roman" w:hAnsi="Times New Roman" w:eastAsia="黑体" w:cs="Times New Roman"/>
                <w:color w:val="000000"/>
                <w:spacing w:val="-4"/>
                <w:kern w:val="0"/>
                <w:sz w:val="32"/>
                <w:szCs w:val="32"/>
                <w:vertAlign w:val="baseline"/>
              </w:rPr>
            </w:pPr>
            <w:r>
              <w:rPr>
                <w:rFonts w:hint="eastAsia" w:ascii="Times New Roman" w:hAnsi="Times New Roman" w:eastAsia="仿宋_GB2312" w:cs="Times New Roman"/>
                <w:color w:val="000000"/>
                <w:spacing w:val="-4"/>
                <w:kern w:val="0"/>
                <w:sz w:val="21"/>
                <w:szCs w:val="21"/>
                <w:lang w:eastAsia="zh-CN"/>
              </w:rPr>
              <w:t>不列入</w:t>
            </w:r>
          </w:p>
        </w:tc>
      </w:tr>
      <w:tr w14:paraId="40D91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7" w:type="dxa"/>
            <w:vMerge w:val="restart"/>
            <w:vAlign w:val="center"/>
          </w:tcPr>
          <w:p w14:paraId="6AA2CB4E">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2</w:t>
            </w:r>
            <w:r>
              <w:rPr>
                <w:rFonts w:hint="default" w:ascii="Times New Roman" w:hAnsi="Times New Roman" w:eastAsia="仿宋_GB2312" w:cs="Times New Roman"/>
                <w:color w:val="000000"/>
                <w:spacing w:val="-4"/>
                <w:kern w:val="0"/>
                <w:sz w:val="21"/>
                <w:szCs w:val="21"/>
              </w:rPr>
              <w:t>.建设工程规划类许可证核发</w:t>
            </w:r>
          </w:p>
          <w:p w14:paraId="3C8F2046">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（0100150000）</w:t>
            </w:r>
          </w:p>
        </w:tc>
        <w:tc>
          <w:tcPr>
            <w:tcW w:w="2185" w:type="dxa"/>
            <w:vAlign w:val="center"/>
          </w:tcPr>
          <w:p w14:paraId="41FB58A6">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2</w:t>
            </w:r>
            <w:r>
              <w:rPr>
                <w:rFonts w:hint="default" w:ascii="Times New Roman" w:hAnsi="Times New Roman" w:eastAsia="仿宋_GB2312" w:cs="Times New Roman"/>
                <w:color w:val="000000"/>
                <w:spacing w:val="-4"/>
                <w:kern w:val="0"/>
                <w:sz w:val="21"/>
                <w:szCs w:val="21"/>
              </w:rPr>
              <w:t>.历史文化街区、名镇、名村核心保护范围内拆除历史建筑以外的建筑物、构筑物或者其他设施审批</w:t>
            </w:r>
          </w:p>
          <w:p w14:paraId="6CF458DF">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（0100150002）</w:t>
            </w:r>
          </w:p>
        </w:tc>
        <w:tc>
          <w:tcPr>
            <w:tcW w:w="7380" w:type="dxa"/>
            <w:vAlign w:val="center"/>
          </w:tcPr>
          <w:p w14:paraId="3509BEE2">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【行政法规】《历史文化名城名镇名村保护条例》(国务院令第524号发布，国务院令第687号修改)第二十八条　</w:t>
            </w:r>
          </w:p>
        </w:tc>
        <w:tc>
          <w:tcPr>
            <w:tcW w:w="2175" w:type="dxa"/>
            <w:vAlign w:val="center"/>
          </w:tcPr>
          <w:p w14:paraId="503FF9B0">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1777" w:type="dxa"/>
            <w:vAlign w:val="center"/>
          </w:tcPr>
          <w:p w14:paraId="13F74A28">
            <w:pPr>
              <w:widowControl/>
              <w:spacing w:line="260" w:lineRule="exact"/>
              <w:ind w:left="-42" w:leftChars="-20" w:right="-42" w:rightChars="-20"/>
              <w:jc w:val="center"/>
              <w:rPr>
                <w:rFonts w:hint="eastAsia" w:ascii="Times New Roman" w:hAnsi="Times New Roman" w:eastAsia="仿宋_GB2312" w:cs="Times New Roman"/>
                <w:color w:val="000000"/>
                <w:spacing w:val="-4"/>
                <w:kern w:val="0"/>
                <w:sz w:val="21"/>
                <w:szCs w:val="21"/>
                <w:lang w:eastAsia="zh-CN"/>
              </w:rPr>
            </w:pPr>
            <w:r>
              <w:rPr>
                <w:rFonts w:hint="eastAsia" w:ascii="Times New Roman" w:hAnsi="Times New Roman" w:eastAsia="仿宋_GB2312" w:cs="Times New Roman"/>
                <w:color w:val="000000"/>
                <w:spacing w:val="-4"/>
                <w:kern w:val="0"/>
                <w:sz w:val="21"/>
                <w:szCs w:val="21"/>
                <w:lang w:eastAsia="zh-CN"/>
              </w:rPr>
              <w:t>不列入</w:t>
            </w:r>
          </w:p>
        </w:tc>
      </w:tr>
      <w:tr w14:paraId="5EB75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7" w:type="dxa"/>
            <w:vMerge w:val="continue"/>
            <w:vAlign w:val="center"/>
          </w:tcPr>
          <w:p w14:paraId="28F082BA">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p>
        </w:tc>
        <w:tc>
          <w:tcPr>
            <w:tcW w:w="2185" w:type="dxa"/>
            <w:vAlign w:val="center"/>
          </w:tcPr>
          <w:p w14:paraId="7E42FC32">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3</w:t>
            </w:r>
            <w:r>
              <w:rPr>
                <w:rFonts w:hint="default" w:ascii="Times New Roman" w:hAnsi="Times New Roman" w:eastAsia="仿宋_GB2312" w:cs="Times New Roman"/>
                <w:color w:val="000000"/>
                <w:spacing w:val="-4"/>
                <w:kern w:val="0"/>
                <w:sz w:val="21"/>
                <w:szCs w:val="21"/>
              </w:rPr>
              <w:t>.历史建筑实施原址保护、对历史建筑无法实施原址保护、必须迁移异地保护或者拆除的审批</w:t>
            </w:r>
          </w:p>
          <w:p w14:paraId="46A07694">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（0100150003）</w:t>
            </w:r>
          </w:p>
        </w:tc>
        <w:tc>
          <w:tcPr>
            <w:tcW w:w="7380" w:type="dxa"/>
            <w:vAlign w:val="center"/>
          </w:tcPr>
          <w:p w14:paraId="299EB009">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【行政法规】《历史文化名城名镇名村保护条例》(国务院令第524号发布，国务院令第687号修改)第三十四条　</w:t>
            </w:r>
          </w:p>
          <w:p w14:paraId="3DC524ED">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p>
        </w:tc>
        <w:tc>
          <w:tcPr>
            <w:tcW w:w="2175" w:type="dxa"/>
            <w:vAlign w:val="center"/>
          </w:tcPr>
          <w:p w14:paraId="7BA84E1B">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1777" w:type="dxa"/>
            <w:vAlign w:val="center"/>
          </w:tcPr>
          <w:p w14:paraId="46863CB3">
            <w:pPr>
              <w:widowControl/>
              <w:spacing w:line="260" w:lineRule="exact"/>
              <w:ind w:left="-42" w:leftChars="-20" w:right="-42" w:rightChars="-20"/>
              <w:jc w:val="center"/>
              <w:rPr>
                <w:rFonts w:hint="eastAsia" w:ascii="Times New Roman" w:hAnsi="Times New Roman" w:eastAsia="仿宋_GB2312" w:cs="Times New Roman"/>
                <w:color w:val="000000"/>
                <w:spacing w:val="-4"/>
                <w:kern w:val="0"/>
                <w:sz w:val="21"/>
                <w:szCs w:val="21"/>
                <w:lang w:eastAsia="zh-CN"/>
              </w:rPr>
            </w:pPr>
            <w:r>
              <w:rPr>
                <w:rFonts w:hint="eastAsia" w:ascii="Times New Roman" w:hAnsi="Times New Roman" w:eastAsia="仿宋_GB2312" w:cs="Times New Roman"/>
                <w:color w:val="000000"/>
                <w:spacing w:val="-4"/>
                <w:kern w:val="0"/>
                <w:sz w:val="21"/>
                <w:szCs w:val="21"/>
                <w:lang w:eastAsia="zh-CN"/>
              </w:rPr>
              <w:t>不列入</w:t>
            </w:r>
          </w:p>
        </w:tc>
      </w:tr>
      <w:tr w14:paraId="44E47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5" w:hRule="atLeast"/>
          <w:jc w:val="center"/>
        </w:trPr>
        <w:tc>
          <w:tcPr>
            <w:tcW w:w="2097" w:type="dxa"/>
            <w:vMerge w:val="continue"/>
            <w:vAlign w:val="center"/>
          </w:tcPr>
          <w:p w14:paraId="76FC0114">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p>
        </w:tc>
        <w:tc>
          <w:tcPr>
            <w:tcW w:w="2185" w:type="dxa"/>
            <w:vAlign w:val="center"/>
          </w:tcPr>
          <w:p w14:paraId="038915A2">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4</w:t>
            </w:r>
            <w:r>
              <w:rPr>
                <w:rFonts w:hint="default" w:ascii="Times New Roman" w:hAnsi="Times New Roman" w:eastAsia="仿宋_GB2312" w:cs="Times New Roman"/>
                <w:color w:val="000000"/>
                <w:spacing w:val="-4"/>
                <w:kern w:val="0"/>
                <w:sz w:val="21"/>
                <w:szCs w:val="21"/>
              </w:rPr>
              <w:t>.历史建筑外部修缮装饰、添加设施以及改变历史建筑的结构或者使用性质审批</w:t>
            </w:r>
          </w:p>
          <w:p w14:paraId="4EE8B02A">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（0100150004）</w:t>
            </w:r>
          </w:p>
        </w:tc>
        <w:tc>
          <w:tcPr>
            <w:tcW w:w="7380" w:type="dxa"/>
            <w:vAlign w:val="center"/>
          </w:tcPr>
          <w:p w14:paraId="097E7E60">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【行政法规】《历史文化名城名镇名村保护条例》(国务院令第524号发布，国务院令第687号修改)第三十五条　</w:t>
            </w:r>
          </w:p>
        </w:tc>
        <w:tc>
          <w:tcPr>
            <w:tcW w:w="2175" w:type="dxa"/>
            <w:vAlign w:val="center"/>
          </w:tcPr>
          <w:p w14:paraId="6F929496">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1777" w:type="dxa"/>
            <w:vAlign w:val="center"/>
          </w:tcPr>
          <w:p w14:paraId="7967CC52">
            <w:pPr>
              <w:widowControl/>
              <w:spacing w:line="260" w:lineRule="exact"/>
              <w:ind w:left="-42" w:leftChars="-20" w:right="-42" w:rightChars="-20"/>
              <w:jc w:val="center"/>
              <w:rPr>
                <w:rFonts w:hint="eastAsia" w:ascii="Times New Roman" w:hAnsi="Times New Roman" w:eastAsia="仿宋_GB2312" w:cs="Times New Roman"/>
                <w:color w:val="000000"/>
                <w:spacing w:val="-4"/>
                <w:kern w:val="0"/>
                <w:sz w:val="21"/>
                <w:szCs w:val="21"/>
                <w:lang w:eastAsia="zh-CN"/>
              </w:rPr>
            </w:pPr>
            <w:r>
              <w:rPr>
                <w:rFonts w:hint="eastAsia" w:ascii="Times New Roman" w:hAnsi="Times New Roman" w:eastAsia="仿宋_GB2312" w:cs="Times New Roman"/>
                <w:color w:val="000000"/>
                <w:spacing w:val="-4"/>
                <w:kern w:val="0"/>
                <w:sz w:val="21"/>
                <w:szCs w:val="21"/>
                <w:lang w:eastAsia="zh-CN"/>
              </w:rPr>
              <w:t>不列入</w:t>
            </w:r>
          </w:p>
        </w:tc>
      </w:tr>
      <w:tr w14:paraId="60732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7" w:type="dxa"/>
            <w:vMerge w:val="restart"/>
            <w:vAlign w:val="center"/>
          </w:tcPr>
          <w:p w14:paraId="79D042B2">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3</w:t>
            </w:r>
            <w:r>
              <w:rPr>
                <w:rFonts w:hint="default" w:ascii="Times New Roman" w:hAnsi="Times New Roman" w:eastAsia="仿宋_GB2312" w:cs="Times New Roman"/>
                <w:color w:val="000000"/>
                <w:spacing w:val="-4"/>
                <w:kern w:val="0"/>
                <w:sz w:val="21"/>
                <w:szCs w:val="21"/>
              </w:rPr>
              <w:t>.建设项目安全设施设计审查</w:t>
            </w:r>
          </w:p>
          <w:p w14:paraId="2416C598">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（0100381000）</w:t>
            </w:r>
          </w:p>
        </w:tc>
        <w:tc>
          <w:tcPr>
            <w:tcW w:w="2185" w:type="dxa"/>
            <w:vAlign w:val="center"/>
          </w:tcPr>
          <w:p w14:paraId="679E4DAC">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5</w:t>
            </w:r>
            <w:r>
              <w:rPr>
                <w:rFonts w:hint="default" w:ascii="Times New Roman" w:hAnsi="Times New Roman" w:eastAsia="仿宋_GB2312" w:cs="Times New Roman"/>
                <w:color w:val="000000"/>
                <w:spacing w:val="-4"/>
                <w:kern w:val="0"/>
                <w:sz w:val="21"/>
                <w:szCs w:val="21"/>
              </w:rPr>
              <w:t>.非煤矿矿山建设项目安全设施设计审查</w:t>
            </w:r>
          </w:p>
          <w:p w14:paraId="315F45DE">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（0100381001）</w:t>
            </w:r>
          </w:p>
        </w:tc>
        <w:tc>
          <w:tcPr>
            <w:tcW w:w="7380" w:type="dxa"/>
            <w:vAlign w:val="center"/>
          </w:tcPr>
          <w:p w14:paraId="63DA1EA8">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【法律】《中华人民共和国安全生产法》第三十条   </w:t>
            </w:r>
          </w:p>
          <w:p w14:paraId="2DFF2061">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【规章】《建设项目安全设施“三同时”监督管理办法》（国家安全监管总局令第36号公布，国家安全监管总局令第77号修正）第五条    </w:t>
            </w:r>
          </w:p>
        </w:tc>
        <w:tc>
          <w:tcPr>
            <w:tcW w:w="2175" w:type="dxa"/>
            <w:vAlign w:val="center"/>
          </w:tcPr>
          <w:p w14:paraId="72D64054">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1777" w:type="dxa"/>
            <w:vAlign w:val="center"/>
          </w:tcPr>
          <w:p w14:paraId="46772E22">
            <w:pPr>
              <w:widowControl/>
              <w:spacing w:line="260" w:lineRule="exact"/>
              <w:ind w:left="-42" w:leftChars="-20" w:right="-42" w:rightChars="-20"/>
              <w:jc w:val="center"/>
              <w:rPr>
                <w:rFonts w:hint="eastAsia" w:ascii="Times New Roman" w:hAnsi="Times New Roman" w:eastAsia="仿宋_GB2312" w:cs="Times New Roman"/>
                <w:color w:val="000000"/>
                <w:spacing w:val="-4"/>
                <w:kern w:val="0"/>
                <w:sz w:val="21"/>
                <w:szCs w:val="21"/>
                <w:lang w:eastAsia="zh-CN"/>
              </w:rPr>
            </w:pPr>
            <w:r>
              <w:rPr>
                <w:rFonts w:hint="eastAsia" w:ascii="Times New Roman" w:hAnsi="Times New Roman" w:eastAsia="仿宋_GB2312" w:cs="Times New Roman"/>
                <w:color w:val="000000"/>
                <w:spacing w:val="-4"/>
                <w:kern w:val="0"/>
                <w:sz w:val="21"/>
                <w:szCs w:val="21"/>
                <w:lang w:eastAsia="zh-CN"/>
              </w:rPr>
              <w:t>不列入</w:t>
            </w:r>
          </w:p>
        </w:tc>
      </w:tr>
      <w:tr w14:paraId="4179D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7" w:type="dxa"/>
            <w:vMerge w:val="continue"/>
            <w:vAlign w:val="center"/>
          </w:tcPr>
          <w:p w14:paraId="5BB601FA">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p>
        </w:tc>
        <w:tc>
          <w:tcPr>
            <w:tcW w:w="2185" w:type="dxa"/>
            <w:vAlign w:val="center"/>
          </w:tcPr>
          <w:p w14:paraId="3231B7D7">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6</w:t>
            </w:r>
            <w:r>
              <w:rPr>
                <w:rFonts w:hint="default" w:ascii="Times New Roman" w:hAnsi="Times New Roman" w:eastAsia="仿宋_GB2312" w:cs="Times New Roman"/>
                <w:color w:val="000000"/>
                <w:spacing w:val="-4"/>
                <w:kern w:val="0"/>
                <w:sz w:val="21"/>
                <w:szCs w:val="21"/>
              </w:rPr>
              <w:t>.储存烟花爆竹的建设项目安全设施设计审查</w:t>
            </w:r>
          </w:p>
          <w:p w14:paraId="0011D513">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（0100381003）</w:t>
            </w:r>
          </w:p>
        </w:tc>
        <w:tc>
          <w:tcPr>
            <w:tcW w:w="7380" w:type="dxa"/>
            <w:vAlign w:val="center"/>
          </w:tcPr>
          <w:p w14:paraId="725E4CE6">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【法律】《中华人民共和国安全生产法》第三十条 </w:t>
            </w:r>
          </w:p>
          <w:p w14:paraId="13890A44">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【部门规章】《建设项目安全设施“三同时”监督管理办法》（国家安全监管总局令第36号公布，国家安全监管总局令第77号修正）第五条 、第七条、第十二条 </w:t>
            </w:r>
          </w:p>
        </w:tc>
        <w:tc>
          <w:tcPr>
            <w:tcW w:w="2175" w:type="dxa"/>
            <w:vAlign w:val="center"/>
          </w:tcPr>
          <w:p w14:paraId="17CB5A1A">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1777" w:type="dxa"/>
            <w:vAlign w:val="center"/>
          </w:tcPr>
          <w:p w14:paraId="14032B25">
            <w:pPr>
              <w:widowControl/>
              <w:spacing w:line="260" w:lineRule="exact"/>
              <w:ind w:left="-42" w:leftChars="-20" w:right="-42" w:rightChars="-20"/>
              <w:jc w:val="center"/>
              <w:rPr>
                <w:rFonts w:hint="eastAsia" w:ascii="Times New Roman" w:hAnsi="Times New Roman" w:eastAsia="仿宋_GB2312" w:cs="Times New Roman"/>
                <w:color w:val="000000"/>
                <w:spacing w:val="-4"/>
                <w:kern w:val="0"/>
                <w:sz w:val="21"/>
                <w:szCs w:val="21"/>
                <w:lang w:eastAsia="zh-CN"/>
              </w:rPr>
            </w:pPr>
            <w:r>
              <w:rPr>
                <w:rFonts w:hint="eastAsia" w:ascii="Times New Roman" w:hAnsi="Times New Roman" w:eastAsia="仿宋_GB2312" w:cs="Times New Roman"/>
                <w:color w:val="000000"/>
                <w:spacing w:val="-4"/>
                <w:kern w:val="0"/>
                <w:sz w:val="21"/>
                <w:szCs w:val="21"/>
                <w:lang w:eastAsia="zh-CN"/>
              </w:rPr>
              <w:t>不列入</w:t>
            </w:r>
          </w:p>
        </w:tc>
      </w:tr>
      <w:tr w14:paraId="17F83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7" w:type="dxa"/>
            <w:vMerge w:val="continue"/>
            <w:vAlign w:val="center"/>
          </w:tcPr>
          <w:p w14:paraId="5AEDB159">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p>
        </w:tc>
        <w:tc>
          <w:tcPr>
            <w:tcW w:w="2185" w:type="dxa"/>
            <w:vAlign w:val="center"/>
          </w:tcPr>
          <w:p w14:paraId="5F3FF6D3">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7</w:t>
            </w:r>
            <w:r>
              <w:rPr>
                <w:rFonts w:hint="default" w:ascii="Times New Roman" w:hAnsi="Times New Roman" w:eastAsia="仿宋_GB2312" w:cs="Times New Roman"/>
                <w:color w:val="000000"/>
                <w:spacing w:val="-4"/>
                <w:kern w:val="0"/>
                <w:sz w:val="21"/>
                <w:szCs w:val="21"/>
              </w:rPr>
              <w:t>.金属冶炼建设项目安全设施设计审查（0100381004）</w:t>
            </w:r>
          </w:p>
        </w:tc>
        <w:tc>
          <w:tcPr>
            <w:tcW w:w="7380" w:type="dxa"/>
            <w:vAlign w:val="center"/>
          </w:tcPr>
          <w:p w14:paraId="4D717823">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【法律】《中华人民共和国安全生产法》第三十条 </w:t>
            </w:r>
          </w:p>
          <w:p w14:paraId="3F027923">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【部门规章】《建设项目安全设施“三同时”监督管理办法》（国家安全监管总局令第36号公布，国家安全监管总局令第77号修正）第五条 、第七条、第十二条 </w:t>
            </w:r>
          </w:p>
        </w:tc>
        <w:tc>
          <w:tcPr>
            <w:tcW w:w="2175" w:type="dxa"/>
            <w:vAlign w:val="center"/>
          </w:tcPr>
          <w:p w14:paraId="65148E62">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行政许可</w:t>
            </w:r>
          </w:p>
        </w:tc>
        <w:tc>
          <w:tcPr>
            <w:tcW w:w="1777" w:type="dxa"/>
            <w:vAlign w:val="center"/>
          </w:tcPr>
          <w:p w14:paraId="03B5F68D">
            <w:pPr>
              <w:widowControl/>
              <w:spacing w:line="260" w:lineRule="exact"/>
              <w:ind w:left="-42" w:leftChars="-20" w:right="-42" w:rightChars="-20"/>
              <w:jc w:val="center"/>
              <w:rPr>
                <w:rFonts w:hint="eastAsia" w:ascii="Times New Roman" w:hAnsi="Times New Roman" w:eastAsia="仿宋_GB2312" w:cs="Times New Roman"/>
                <w:color w:val="000000"/>
                <w:spacing w:val="-4"/>
                <w:kern w:val="0"/>
                <w:sz w:val="21"/>
                <w:szCs w:val="21"/>
                <w:lang w:eastAsia="zh-CN"/>
              </w:rPr>
            </w:pPr>
            <w:r>
              <w:rPr>
                <w:rFonts w:hint="eastAsia" w:ascii="Times New Roman" w:hAnsi="Times New Roman" w:eastAsia="仿宋_GB2312" w:cs="Times New Roman"/>
                <w:color w:val="000000"/>
                <w:spacing w:val="-4"/>
                <w:kern w:val="0"/>
                <w:sz w:val="21"/>
                <w:szCs w:val="21"/>
                <w:lang w:eastAsia="zh-CN"/>
              </w:rPr>
              <w:t>不列入</w:t>
            </w:r>
          </w:p>
        </w:tc>
      </w:tr>
      <w:tr w14:paraId="7EFF5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7" w:type="dxa"/>
            <w:vAlign w:val="center"/>
          </w:tcPr>
          <w:p w14:paraId="3D9C043D">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4.</w:t>
            </w:r>
            <w:r>
              <w:rPr>
                <w:rFonts w:hint="default" w:ascii="Times New Roman" w:hAnsi="Times New Roman" w:eastAsia="仿宋_GB2312" w:cs="Times New Roman"/>
                <w:color w:val="000000"/>
                <w:spacing w:val="-4"/>
                <w:kern w:val="0"/>
                <w:sz w:val="21"/>
                <w:szCs w:val="21"/>
              </w:rPr>
              <w:t>企业投资技术改造项目备案</w:t>
            </w:r>
          </w:p>
          <w:p w14:paraId="5ECA81B3">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（1000015000）</w:t>
            </w:r>
          </w:p>
        </w:tc>
        <w:tc>
          <w:tcPr>
            <w:tcW w:w="2185" w:type="dxa"/>
            <w:vAlign w:val="center"/>
          </w:tcPr>
          <w:p w14:paraId="69C334FF">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8</w:t>
            </w:r>
            <w:r>
              <w:rPr>
                <w:rFonts w:hint="default" w:ascii="Times New Roman" w:hAnsi="Times New Roman" w:eastAsia="仿宋_GB2312" w:cs="Times New Roman"/>
                <w:color w:val="000000"/>
                <w:spacing w:val="-4"/>
                <w:kern w:val="0"/>
                <w:sz w:val="21"/>
                <w:szCs w:val="21"/>
              </w:rPr>
              <w:t>.企业投资技术改造项目备案</w:t>
            </w:r>
          </w:p>
          <w:p w14:paraId="45BD9081">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（1000015000）</w:t>
            </w:r>
          </w:p>
        </w:tc>
        <w:tc>
          <w:tcPr>
            <w:tcW w:w="7380" w:type="dxa"/>
            <w:vAlign w:val="center"/>
          </w:tcPr>
          <w:p w14:paraId="60A45335">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【行政法规】《企业投资项目核准和备案管理条例》(中华人民共和国国务院令2016年第673号)  第三条　</w:t>
            </w:r>
          </w:p>
          <w:p w14:paraId="59F9D6EA">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【部门规章】《企业投资项目核准和备案管理办法》(中华人民共和国国家发展和改革委员会令2017年2号)第四条 </w:t>
            </w:r>
          </w:p>
          <w:p w14:paraId="1EFC2422">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【规范性文件】《关于印发江苏省企业投资项目核准和备案管理办法的通知》（苏政发〔2017〕88号）第四条、第六条 </w:t>
            </w:r>
          </w:p>
          <w:p w14:paraId="3910FF27">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【规范性文件】《省政府关于发布江苏省政府核准的投资项目目录（2017年本）的通知》（苏政发〔2017〕71号）第一条</w:t>
            </w:r>
          </w:p>
          <w:p w14:paraId="25CC590C">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【部门规章】《外商投资项目核准和备案办法》（中华人民共和国国家发展和改革委员会令2014第 12 号）第五条 </w:t>
            </w:r>
          </w:p>
        </w:tc>
        <w:tc>
          <w:tcPr>
            <w:tcW w:w="2175" w:type="dxa"/>
            <w:vAlign w:val="center"/>
          </w:tcPr>
          <w:p w14:paraId="5391B9B9">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其他</w:t>
            </w:r>
          </w:p>
        </w:tc>
        <w:tc>
          <w:tcPr>
            <w:tcW w:w="1777" w:type="dxa"/>
            <w:vAlign w:val="center"/>
          </w:tcPr>
          <w:p w14:paraId="62C44D9C">
            <w:pPr>
              <w:widowControl/>
              <w:spacing w:line="260" w:lineRule="exact"/>
              <w:ind w:left="-42" w:leftChars="-20" w:right="-42" w:rightChars="-20"/>
              <w:jc w:val="center"/>
              <w:rPr>
                <w:rFonts w:hint="eastAsia" w:ascii="Times New Roman" w:hAnsi="Times New Roman" w:eastAsia="仿宋_GB2312" w:cs="Times New Roman"/>
                <w:color w:val="000000"/>
                <w:spacing w:val="-4"/>
                <w:kern w:val="0"/>
                <w:sz w:val="21"/>
                <w:szCs w:val="21"/>
                <w:lang w:eastAsia="zh-CN"/>
              </w:rPr>
            </w:pPr>
            <w:r>
              <w:rPr>
                <w:rFonts w:hint="eastAsia" w:ascii="Times New Roman" w:hAnsi="Times New Roman" w:eastAsia="仿宋_GB2312" w:cs="Times New Roman"/>
                <w:color w:val="000000"/>
                <w:spacing w:val="-4"/>
                <w:kern w:val="0"/>
                <w:sz w:val="21"/>
                <w:szCs w:val="21"/>
                <w:lang w:eastAsia="zh-CN"/>
              </w:rPr>
              <w:t>不列入</w:t>
            </w:r>
          </w:p>
        </w:tc>
      </w:tr>
      <w:tr w14:paraId="061C6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7" w:type="dxa"/>
            <w:vAlign w:val="center"/>
          </w:tcPr>
          <w:p w14:paraId="2BD3DC87">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5</w:t>
            </w:r>
            <w:r>
              <w:rPr>
                <w:rFonts w:hint="default" w:ascii="Times New Roman" w:hAnsi="Times New Roman" w:eastAsia="仿宋_GB2312" w:cs="Times New Roman"/>
                <w:color w:val="000000"/>
                <w:spacing w:val="-4"/>
                <w:kern w:val="0"/>
                <w:sz w:val="21"/>
                <w:szCs w:val="21"/>
              </w:rPr>
              <w:t>.固定资产投资项目节能审查</w:t>
            </w:r>
          </w:p>
          <w:p w14:paraId="72FCE3EC">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（0100012000）</w:t>
            </w:r>
          </w:p>
        </w:tc>
        <w:tc>
          <w:tcPr>
            <w:tcW w:w="2185" w:type="dxa"/>
            <w:vAlign w:val="center"/>
          </w:tcPr>
          <w:p w14:paraId="27F84374">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eastAsia" w:ascii="Times New Roman" w:hAnsi="Times New Roman" w:eastAsia="仿宋_GB2312" w:cs="Times New Roman"/>
                <w:color w:val="000000"/>
                <w:spacing w:val="-4"/>
                <w:kern w:val="0"/>
                <w:sz w:val="21"/>
                <w:szCs w:val="21"/>
                <w:lang w:val="en-US" w:eastAsia="zh-CN"/>
              </w:rPr>
              <w:t>9</w:t>
            </w:r>
            <w:r>
              <w:rPr>
                <w:rFonts w:hint="default" w:ascii="Times New Roman" w:hAnsi="Times New Roman" w:eastAsia="仿宋_GB2312" w:cs="Times New Roman"/>
                <w:color w:val="000000"/>
                <w:spacing w:val="-4"/>
                <w:kern w:val="0"/>
                <w:sz w:val="21"/>
                <w:szCs w:val="21"/>
              </w:rPr>
              <w:t>.固定资产投资项目节能审查</w:t>
            </w:r>
          </w:p>
          <w:p w14:paraId="29B6C9D1">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（0100012000）</w:t>
            </w:r>
          </w:p>
        </w:tc>
        <w:tc>
          <w:tcPr>
            <w:tcW w:w="7380" w:type="dxa"/>
            <w:vAlign w:val="center"/>
          </w:tcPr>
          <w:p w14:paraId="334CAE8E">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【法律】《中华人民共和国节约能源法》第十条、第十五条　</w:t>
            </w:r>
          </w:p>
          <w:p w14:paraId="56320E16">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【规章】《工业节能管理办法》（工业和信息化部令第33号）第十三条 </w:t>
            </w:r>
          </w:p>
          <w:p w14:paraId="297E95C4">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【地方性法规】《江苏省节约能源条例》第十五条  </w:t>
            </w:r>
          </w:p>
          <w:p w14:paraId="0C723CB5">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【规范性文件】《省政府关于取消和调整一批行政审批项目等事项的决定》（苏政发〔2016〕117号）第1项  </w:t>
            </w:r>
          </w:p>
          <w:p w14:paraId="4BAA6623">
            <w:pPr>
              <w:widowControl/>
              <w:spacing w:line="260" w:lineRule="exact"/>
              <w:ind w:left="-42" w:leftChars="-20" w:right="-42" w:rightChars="-20"/>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 xml:space="preserve">【规范性文件】《省政府关于公布企业投资项目省级部门不再审批事项清单（第一批）的决定》（苏政发〔2017〕82号） 第3项 </w:t>
            </w:r>
          </w:p>
        </w:tc>
        <w:tc>
          <w:tcPr>
            <w:tcW w:w="2175" w:type="dxa"/>
            <w:vAlign w:val="center"/>
          </w:tcPr>
          <w:p w14:paraId="014BA716">
            <w:pPr>
              <w:widowControl/>
              <w:spacing w:line="260" w:lineRule="exact"/>
              <w:ind w:left="-42" w:leftChars="-20" w:right="-42" w:rightChars="-20"/>
              <w:jc w:val="center"/>
              <w:rPr>
                <w:rFonts w:hint="default" w:ascii="Times New Roman" w:hAnsi="Times New Roman" w:eastAsia="仿宋_GB2312" w:cs="Times New Roman"/>
                <w:color w:val="000000"/>
                <w:spacing w:val="-4"/>
                <w:kern w:val="0"/>
                <w:sz w:val="21"/>
                <w:szCs w:val="21"/>
              </w:rPr>
            </w:pPr>
            <w:r>
              <w:rPr>
                <w:rFonts w:hint="default" w:ascii="Times New Roman" w:hAnsi="Times New Roman" w:eastAsia="仿宋_GB2312" w:cs="Times New Roman"/>
                <w:color w:val="000000"/>
                <w:spacing w:val="-4"/>
                <w:kern w:val="0"/>
                <w:sz w:val="21"/>
                <w:szCs w:val="21"/>
              </w:rPr>
              <w:t>其他</w:t>
            </w:r>
          </w:p>
        </w:tc>
        <w:tc>
          <w:tcPr>
            <w:tcW w:w="1777" w:type="dxa"/>
            <w:vAlign w:val="center"/>
          </w:tcPr>
          <w:p w14:paraId="59007E8A">
            <w:pPr>
              <w:widowControl/>
              <w:spacing w:line="260" w:lineRule="exact"/>
              <w:ind w:left="-42" w:leftChars="-20" w:right="-42" w:rightChars="-20"/>
              <w:jc w:val="center"/>
              <w:rPr>
                <w:rFonts w:hint="eastAsia" w:ascii="Times New Roman" w:hAnsi="Times New Roman" w:eastAsia="仿宋_GB2312" w:cs="Times New Roman"/>
                <w:color w:val="000000"/>
                <w:spacing w:val="-4"/>
                <w:kern w:val="0"/>
                <w:sz w:val="21"/>
                <w:szCs w:val="21"/>
                <w:lang w:eastAsia="zh-CN"/>
              </w:rPr>
            </w:pPr>
            <w:r>
              <w:rPr>
                <w:rFonts w:hint="eastAsia" w:ascii="Times New Roman" w:hAnsi="Times New Roman" w:eastAsia="仿宋_GB2312" w:cs="Times New Roman"/>
                <w:color w:val="000000"/>
                <w:spacing w:val="-4"/>
                <w:kern w:val="0"/>
                <w:sz w:val="21"/>
                <w:szCs w:val="21"/>
                <w:lang w:eastAsia="zh-CN"/>
              </w:rPr>
              <w:t>不列入</w:t>
            </w:r>
          </w:p>
        </w:tc>
      </w:tr>
    </w:tbl>
    <w:p w14:paraId="6650F9F5">
      <w:pPr>
        <w:numPr>
          <w:ilvl w:val="0"/>
          <w:numId w:val="0"/>
        </w:numPr>
        <w:tabs>
          <w:tab w:val="left" w:pos="829"/>
        </w:tabs>
        <w:bidi w:val="0"/>
        <w:jc w:val="left"/>
        <w:rPr>
          <w:rFonts w:hint="eastAsia"/>
          <w:lang w:val="zh-CN" w:eastAsia="zh-CN"/>
        </w:rPr>
      </w:pPr>
    </w:p>
    <w:p w14:paraId="6E2420A4">
      <w:pPr>
        <w:keepNext w:val="0"/>
        <w:keepLines w:val="0"/>
        <w:pageBreakBefore w:val="0"/>
        <w:widowControl w:val="0"/>
        <w:kinsoku/>
        <w:wordWrap/>
        <w:overflowPunct/>
        <w:topLinePunct w:val="0"/>
        <w:autoSpaceDE/>
        <w:autoSpaceDN/>
        <w:bidi w:val="0"/>
        <w:adjustRightInd w:val="0"/>
        <w:snapToGrid w:val="0"/>
        <w:spacing w:line="300" w:lineRule="auto"/>
        <w:jc w:val="center"/>
        <w:textAlignment w:val="auto"/>
        <w:rPr>
          <w:rFonts w:hint="default" w:ascii="Times New Roman" w:hAnsi="Times New Roman" w:eastAsia="仿宋_GB2312"/>
          <w:spacing w:val="-20"/>
          <w:sz w:val="28"/>
          <w:szCs w:val="28"/>
          <w:lang w:val="en-US" w:eastAsia="zh-CN"/>
        </w:rPr>
      </w:pPr>
    </w:p>
    <w:sectPr>
      <w:pgSz w:w="16838" w:h="11906" w:orient="landscape"/>
      <w:pgMar w:top="1587" w:right="1213" w:bottom="1587" w:left="1383" w:header="851" w:footer="992" w:gutter="0"/>
      <w:paperSrc/>
      <w:cols w:space="0" w:num="1"/>
      <w:rtlGutter w:val="0"/>
      <w:docGrid w:type="lines" w:linePitch="3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Batang">
    <w:panose1 w:val="02030600000101010101"/>
    <w:charset w:val="81"/>
    <w:family w:val="roman"/>
    <w:pitch w:val="default"/>
    <w:sig w:usb0="B00002AF" w:usb1="69D77CFB" w:usb2="00000030" w:usb3="00000000" w:csb0="4008009F" w:csb1="DFD70000"/>
  </w:font>
  <w:font w:name="方正小标宋_GBK">
    <w:panose1 w:val="02000000000000000000"/>
    <w:charset w:val="86"/>
    <w:family w:val="script"/>
    <w:pitch w:val="default"/>
    <w:sig w:usb0="A00002BF" w:usb1="38CF7CFA" w:usb2="00082016" w:usb3="00000000" w:csb0="00040001" w:csb1="00000000"/>
  </w:font>
  <w:font w:name="方正黑体_GBK">
    <w:panose1 w:val="02000000000000000000"/>
    <w:charset w:val="86"/>
    <w:family w:val="script"/>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hyphenationZone w:val="360"/>
  <w:drawingGridVerticalSpacing w:val="161"/>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27646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unhideWhenUsed/>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basedOn w:val="6"/>
    <w:unhideWhenUsed/>
    <w:qFormat/>
    <w:uiPriority w:val="99"/>
  </w:style>
  <w:style w:type="character" w:customStyle="1" w:styleId="8">
    <w:name w:val="页脚 Char"/>
    <w:basedOn w:val="6"/>
    <w:link w:val="2"/>
    <w:semiHidden/>
    <w:qFormat/>
    <w:uiPriority w:val="99"/>
    <w:rPr>
      <w:rFonts w:ascii="Calibri" w:hAnsi="Calibri" w:eastAsia="宋体" w:cs="Times New Roman"/>
      <w:kern w:val="2"/>
      <w:sz w:val="18"/>
      <w:szCs w:val="18"/>
    </w:rPr>
  </w:style>
  <w:style w:type="character" w:customStyle="1" w:styleId="9">
    <w:name w:val="页眉 Char"/>
    <w:basedOn w:val="6"/>
    <w:link w:val="3"/>
    <w:semiHidden/>
    <w:qFormat/>
    <w:uiPriority w:val="99"/>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24</Pages>
  <Words>14917</Words>
  <Characters>17288</Characters>
  <Lines>4</Lines>
  <Paragraphs>1</Paragraphs>
  <TotalTime>3</TotalTime>
  <ScaleCrop>false</ScaleCrop>
  <LinksUpToDate>false</LinksUpToDate>
  <CharactersWithSpaces>17705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2020-11-17T19:17:00Z</dcterms:created>
  <dc:creator>李家旭</dc:creator>
  <cp:lastModifiedBy>Administrator</cp:lastModifiedBy>
  <cp:lastPrinted>2020-12-15T16:33:00Z</cp:lastPrinted>
  <dcterms:modified xsi:type="dcterms:W3CDTF">2025-07-30T07:58:01Z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BCE7C2B63A0A4E1892CDF5E4C0B9EEDC_13</vt:lpwstr>
  </property>
  <property fmtid="{D5CDD505-2E9C-101B-9397-08002B2CF9AE}" pid="4" name="KSOTemplateDocerSaveRecord">
    <vt:lpwstr>eyJoZGlkIjoiNThlNmUzMTQ1MjQwMmU4OGM0YTZkNTdlYTFlNWY5OWMifQ==</vt:lpwstr>
  </property>
</Properties>
</file>