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方正小标宋简体" w:hAnsi="方正小标宋简体" w:eastAsia="方正小标宋简体" w:cs="方正小标宋简体"/>
          <w:color w:val="FF0000"/>
          <w:spacing w:val="-28"/>
          <w:w w:val="35"/>
          <w:sz w:val="120"/>
          <w:szCs w:val="120"/>
        </w:rPr>
      </w:pPr>
      <w:r>
        <w:rPr>
          <w:rFonts w:hint="eastAsia" w:ascii="方正小标宋简体" w:hAnsi="方正小标宋简体" w:eastAsia="方正小标宋简体" w:cs="方正小标宋简体"/>
          <w:color w:val="FF0000"/>
          <w:spacing w:val="-28"/>
          <w:w w:val="35"/>
          <w:sz w:val="120"/>
          <w:szCs w:val="120"/>
        </w:rPr>
        <w:t>连云港市工程建设项目审批制度改革领导小组办公室文件</w:t>
      </w:r>
    </w:p>
    <w:p>
      <w:pPr>
        <w:rPr>
          <w:sz w:val="28"/>
          <w:szCs w:val="28"/>
        </w:rPr>
      </w:pPr>
    </w:p>
    <w:p>
      <w:pPr>
        <w:spacing w:line="216" w:lineRule="auto"/>
        <w:jc w:val="center"/>
        <w:rPr>
          <w:rFonts w:ascii="Times New Roman" w:hAnsi="Times New Roman" w:eastAsia="仿宋_GB2312" w:cs="仿宋_GB2312"/>
          <w:sz w:val="32"/>
          <w:szCs w:val="32"/>
        </w:rPr>
      </w:pPr>
    </w:p>
    <w:p>
      <w:pPr>
        <w:spacing w:line="216" w:lineRule="auto"/>
        <w:jc w:val="center"/>
        <w:rPr>
          <w:rFonts w:ascii="Times New Roman" w:hAnsi="Times New Roman" w:eastAsia="仿宋_GB2312" w:cs="仿宋_GB2312"/>
          <w:snapToGrid w:val="0"/>
          <w:kern w:val="32"/>
          <w:sz w:val="32"/>
          <w:szCs w:val="32"/>
        </w:rPr>
      </w:pPr>
      <w:r>
        <w:rPr>
          <w:rFonts w:hint="eastAsia" w:ascii="Times New Roman" w:hAnsi="Times New Roman" w:eastAsia="仿宋_GB2312" w:cs="仿宋_GB2312"/>
          <w:sz w:val="32"/>
          <w:szCs w:val="32"/>
        </w:rPr>
        <w:t>连工改办</w:t>
      </w:r>
      <w:r>
        <w:rPr>
          <w:rFonts w:hint="eastAsia" w:ascii="Times New Roman" w:hAnsi="Times New Roman" w:eastAsia="仿宋_GB2312" w:cs="仿宋_GB2312"/>
          <w:snapToGrid w:val="0"/>
          <w:kern w:val="32"/>
          <w:sz w:val="32"/>
          <w:szCs w:val="32"/>
        </w:rPr>
        <w:t>〔202</w:t>
      </w:r>
      <w:r>
        <w:rPr>
          <w:rFonts w:hint="eastAsia" w:ascii="Times New Roman" w:hAnsi="Times New Roman" w:eastAsia="仿宋_GB2312" w:cs="仿宋_GB2312"/>
          <w:snapToGrid w:val="0"/>
          <w:kern w:val="32"/>
          <w:sz w:val="32"/>
          <w:szCs w:val="32"/>
          <w:lang w:val="en-US" w:eastAsia="zh-CN"/>
        </w:rPr>
        <w:t>4</w:t>
      </w:r>
      <w:r>
        <w:rPr>
          <w:rFonts w:hint="eastAsia" w:ascii="Times New Roman" w:hAnsi="Times New Roman" w:eastAsia="仿宋_GB2312" w:cs="仿宋_GB2312"/>
          <w:snapToGrid w:val="0"/>
          <w:kern w:val="32"/>
          <w:sz w:val="32"/>
          <w:szCs w:val="32"/>
        </w:rPr>
        <w:t>〕</w:t>
      </w:r>
      <w:r>
        <w:rPr>
          <w:rFonts w:hint="eastAsia" w:ascii="Times New Roman" w:hAnsi="Times New Roman" w:eastAsia="仿宋_GB2312" w:cs="仿宋_GB2312"/>
          <w:snapToGrid w:val="0"/>
          <w:kern w:val="32"/>
          <w:sz w:val="32"/>
          <w:szCs w:val="32"/>
          <w:lang w:val="en-US" w:eastAsia="zh-CN"/>
        </w:rPr>
        <w:t>1</w:t>
      </w:r>
      <w:r>
        <w:rPr>
          <w:rFonts w:hint="eastAsia" w:ascii="Times New Roman" w:hAnsi="Times New Roman" w:eastAsia="仿宋_GB2312" w:cs="仿宋_GB2312"/>
          <w:snapToGrid w:val="0"/>
          <w:kern w:val="32"/>
          <w:sz w:val="32"/>
          <w:szCs w:val="32"/>
        </w:rPr>
        <w:t>号</w:t>
      </w:r>
    </w:p>
    <w:p>
      <w:pPr>
        <w:spacing w:line="216" w:lineRule="auto"/>
        <w:jc w:val="center"/>
        <w:rPr>
          <w:rFonts w:ascii="方正小标宋简体" w:hAnsi="方正小标宋简体" w:eastAsia="方正小标宋简体" w:cs="方正小标宋简体"/>
          <w:sz w:val="44"/>
          <w:szCs w:val="44"/>
        </w:rPr>
      </w:pPr>
      <w:r>
        <w:rPr>
          <w:w w:val="35"/>
          <w:sz w:val="110"/>
          <w:szCs w:val="110"/>
        </w:rPr>
        <mc:AlternateContent>
          <mc:Choice Requires="wps">
            <w:drawing>
              <wp:anchor distT="0" distB="0" distL="114300" distR="114300" simplePos="0" relativeHeight="251659264" behindDoc="0" locked="0" layoutInCell="1" allowOverlap="1">
                <wp:simplePos x="0" y="0"/>
                <wp:positionH relativeFrom="column">
                  <wp:posOffset>-34925</wp:posOffset>
                </wp:positionH>
                <wp:positionV relativeFrom="paragraph">
                  <wp:posOffset>144780</wp:posOffset>
                </wp:positionV>
                <wp:extent cx="6029325" cy="635"/>
                <wp:effectExtent l="0" t="13970" r="9525" b="23495"/>
                <wp:wrapNone/>
                <wp:docPr id="14" name="直接连接符 1"/>
                <wp:cNvGraphicFramePr/>
                <a:graphic xmlns:a="http://schemas.openxmlformats.org/drawingml/2006/main">
                  <a:graphicData uri="http://schemas.microsoft.com/office/word/2010/wordprocessingShape">
                    <wps:wsp>
                      <wps:cNvCnPr/>
                      <wps:spPr>
                        <a:xfrm flipV="1">
                          <a:off x="0" y="0"/>
                          <a:ext cx="5610860" cy="63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直接连接符 1" o:spid="_x0000_s1026" o:spt="20" style="position:absolute;left:0pt;flip:y;margin-left:-2.75pt;margin-top:11.4pt;height:0.05pt;width:474.75pt;z-index:251659264;mso-width-relative:page;mso-height-relative:page;" filled="f" stroked="t" coordsize="21600,21600" o:gfxdata="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Q67TjZAAAACAEAAA8AAAAAAAAAAQAgAAAAIgAAAGRy&#10;cy9kb3ducmV2LnhtbFBLAQIUABQAAAAIAIdO4kCHJi/4BAIAAAAEAAAOAAAAAAAAAAEAIAAAACgB&#10;AABkcnMvZTJvRG9jLnhtbFBLBQYAAAAABgAGAFkBAACeBQAAAAA=&#10;">
                <v:fill on="f" focussize="0,0"/>
                <v:stroke weight="2.2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sz w:val="44"/>
          <w:szCs w:val="44"/>
        </w:rPr>
      </w:pPr>
      <w:r>
        <w:rPr>
          <w:rFonts w:hint="eastAsia" w:ascii="方正小标宋简体" w:hAnsi="方正小标宋简体" w:eastAsia="方正小标宋简体" w:cs="方正小标宋简体"/>
          <w:sz w:val="44"/>
          <w:szCs w:val="44"/>
        </w:rPr>
        <w:t>关于印发《</w:t>
      </w:r>
      <w:r>
        <w:rPr>
          <w:rFonts w:hint="eastAsia" w:ascii="方正小标宋简体" w:hAnsi="方正小标宋简体" w:eastAsia="方正小标宋简体" w:cs="方正小标宋简体"/>
          <w:color w:val="auto"/>
          <w:sz w:val="44"/>
          <w:szCs w:val="44"/>
          <w:lang w:val="en-US" w:eastAsia="zh-CN"/>
        </w:rPr>
        <w:t>关于进一步优化连云港市工程建设项目审批制度改革工作的实施方案</w:t>
      </w:r>
      <w:r>
        <w:rPr>
          <w:rFonts w:hint="eastAsia" w:ascii="方正小标宋简体" w:hAnsi="方正小标宋简体" w:eastAsia="方正小标宋简体" w:cs="方正小标宋简体"/>
          <w:sz w:val="44"/>
          <w:szCs w:val="44"/>
        </w:rPr>
        <w:t>》的通知</w:t>
      </w:r>
    </w:p>
    <w:p>
      <w:pPr>
        <w:adjustRightInd w:val="0"/>
        <w:snapToGrid w:val="0"/>
        <w:spacing w:line="300" w:lineRule="auto"/>
        <w:rPr>
          <w:rFonts w:ascii="Times New Roman" w:hAnsi="Times New Roman" w:eastAsia="仿宋_GB2312" w:cs="仿宋"/>
          <w:sz w:val="32"/>
          <w:szCs w:val="32"/>
        </w:rPr>
      </w:pPr>
    </w:p>
    <w:p>
      <w:pPr>
        <w:adjustRightInd w:val="0"/>
        <w:snapToGrid w:val="0"/>
        <w:spacing w:line="300" w:lineRule="auto"/>
        <w:rPr>
          <w:rFonts w:ascii="Times New Roman" w:hAnsi="Times New Roman" w:eastAsia="仿宋_GB2312" w:cs="仿宋"/>
          <w:sz w:val="32"/>
          <w:szCs w:val="32"/>
        </w:rPr>
      </w:pPr>
      <w:r>
        <w:rPr>
          <w:rFonts w:hint="eastAsia" w:ascii="Times New Roman" w:hAnsi="Times New Roman" w:eastAsia="仿宋_GB2312" w:cs="仿宋"/>
          <w:sz w:val="32"/>
          <w:szCs w:val="32"/>
        </w:rPr>
        <w:t>各县、区（功能板块），市各相关部门：</w:t>
      </w:r>
    </w:p>
    <w:p>
      <w:pPr>
        <w:adjustRightInd w:val="0"/>
        <w:snapToGrid w:val="0"/>
        <w:spacing w:line="300" w:lineRule="auto"/>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为</w:t>
      </w:r>
      <w:r>
        <w:rPr>
          <w:rFonts w:hint="eastAsia" w:ascii="Times New Roman" w:hAnsi="Times New Roman" w:eastAsia="仿宋_GB2312" w:cs="仿宋"/>
          <w:sz w:val="32"/>
          <w:szCs w:val="32"/>
          <w:lang w:eastAsia="zh-CN"/>
        </w:rPr>
        <w:t>进一步深化工程建设项目审批制度改革，提高审批服务效率，加快推进项目建设</w:t>
      </w:r>
      <w:r>
        <w:rPr>
          <w:rFonts w:hint="eastAsia" w:ascii="Times New Roman" w:hAnsi="Times New Roman" w:eastAsia="仿宋_GB2312" w:cs="仿宋"/>
          <w:sz w:val="32"/>
          <w:szCs w:val="32"/>
        </w:rPr>
        <w:t>，市工改办在前期调研、征求</w:t>
      </w:r>
      <w:r>
        <w:rPr>
          <w:rFonts w:hint="eastAsia" w:ascii="Times New Roman" w:hAnsi="Times New Roman" w:eastAsia="仿宋_GB2312" w:cs="仿宋"/>
          <w:sz w:val="32"/>
          <w:szCs w:val="32"/>
          <w:lang w:eastAsia="zh-CN"/>
        </w:rPr>
        <w:t>各</w:t>
      </w:r>
      <w:r>
        <w:rPr>
          <w:rFonts w:hint="eastAsia" w:ascii="Times New Roman" w:hAnsi="Times New Roman" w:eastAsia="仿宋_GB2312" w:cs="仿宋"/>
          <w:sz w:val="32"/>
          <w:szCs w:val="32"/>
        </w:rPr>
        <w:t>县区和</w:t>
      </w:r>
      <w:r>
        <w:rPr>
          <w:rFonts w:hint="eastAsia" w:ascii="Times New Roman" w:hAnsi="Times New Roman" w:eastAsia="仿宋_GB2312" w:cs="仿宋"/>
          <w:sz w:val="32"/>
          <w:szCs w:val="32"/>
          <w:lang w:eastAsia="zh-CN"/>
        </w:rPr>
        <w:t>市相关</w:t>
      </w:r>
      <w:r>
        <w:rPr>
          <w:rFonts w:hint="eastAsia" w:ascii="Times New Roman" w:hAnsi="Times New Roman" w:eastAsia="仿宋_GB2312" w:cs="仿宋"/>
          <w:sz w:val="32"/>
          <w:szCs w:val="32"/>
        </w:rPr>
        <w:t>部门意见的基础上，起草了《</w:t>
      </w:r>
      <w:r>
        <w:rPr>
          <w:rFonts w:hint="eastAsia" w:ascii="Times New Roman" w:hAnsi="Times New Roman" w:eastAsia="仿宋_GB2312" w:cs="仿宋"/>
          <w:sz w:val="32"/>
          <w:szCs w:val="32"/>
          <w:lang w:val="en-US" w:eastAsia="zh-CN"/>
        </w:rPr>
        <w:t>关于进一步优化连云港市工程建设项目审批制度改革工作的实施方案</w:t>
      </w:r>
      <w:r>
        <w:rPr>
          <w:rFonts w:hint="eastAsia" w:ascii="Times New Roman" w:hAnsi="Times New Roman" w:eastAsia="仿宋_GB2312" w:cs="仿宋"/>
          <w:sz w:val="32"/>
          <w:szCs w:val="32"/>
        </w:rPr>
        <w:t>》。现印发给你们，请结合实际贯彻执行。</w:t>
      </w:r>
    </w:p>
    <w:p>
      <w:pPr>
        <w:pStyle w:val="4"/>
        <w:adjustRightInd w:val="0"/>
        <w:spacing w:line="300" w:lineRule="auto"/>
        <w:rPr>
          <w:rFonts w:ascii="Times New Roman" w:hAnsi="Times New Roman" w:eastAsia="仿宋_GB2312" w:cs="仿宋"/>
          <w:sz w:val="32"/>
          <w:szCs w:val="32"/>
        </w:rPr>
      </w:pPr>
    </w:p>
    <w:p>
      <w:pPr>
        <w:pStyle w:val="4"/>
        <w:adjustRightInd w:val="0"/>
        <w:spacing w:line="300" w:lineRule="auto"/>
        <w:rPr>
          <w:rFonts w:ascii="Times New Roman" w:hAnsi="Times New Roman" w:eastAsia="仿宋_GB2312" w:cs="仿宋"/>
          <w:sz w:val="32"/>
          <w:szCs w:val="32"/>
        </w:rPr>
      </w:pPr>
    </w:p>
    <w:p>
      <w:pPr>
        <w:adjustRightInd w:val="0"/>
        <w:snapToGrid w:val="0"/>
        <w:spacing w:line="300" w:lineRule="auto"/>
        <w:ind w:firstLine="4480" w:firstLineChars="1400"/>
        <w:rPr>
          <w:rFonts w:ascii="Times New Roman" w:hAnsi="Times New Roman" w:eastAsia="仿宋_GB2312" w:cs="仿宋"/>
          <w:sz w:val="32"/>
          <w:szCs w:val="32"/>
        </w:rPr>
      </w:pPr>
      <w:r>
        <w:rPr>
          <w:rFonts w:hint="eastAsia" w:ascii="Times New Roman" w:hAnsi="Times New Roman" w:eastAsia="仿宋_GB2312" w:cs="仿宋"/>
          <w:sz w:val="32"/>
          <w:szCs w:val="32"/>
        </w:rPr>
        <w:t>连云港市工程建设项目审批制度</w:t>
      </w:r>
    </w:p>
    <w:p>
      <w:pPr>
        <w:adjustRightInd w:val="0"/>
        <w:snapToGrid w:val="0"/>
        <w:spacing w:line="300" w:lineRule="auto"/>
        <w:ind w:firstLine="5126" w:firstLineChars="1602"/>
        <w:rPr>
          <w:rFonts w:ascii="Times New Roman" w:hAnsi="Times New Roman" w:eastAsia="仿宋_GB2312" w:cs="仿宋"/>
          <w:sz w:val="32"/>
          <w:szCs w:val="32"/>
        </w:rPr>
      </w:pPr>
      <w:r>
        <w:rPr>
          <w:rFonts w:hint="eastAsia" w:ascii="Times New Roman" w:hAnsi="Times New Roman" w:eastAsia="仿宋_GB2312" w:cs="仿宋"/>
          <w:sz w:val="32"/>
          <w:szCs w:val="32"/>
        </w:rPr>
        <w:t>改革领导小组办公室</w:t>
      </w:r>
    </w:p>
    <w:p>
      <w:pPr>
        <w:pStyle w:val="4"/>
        <w:adjustRightInd w:val="0"/>
        <w:spacing w:line="300" w:lineRule="auto"/>
        <w:rPr>
          <w:rFonts w:ascii="Times New Roman" w:hAnsi="Times New Roman" w:eastAsia="仿宋_GB2312" w:cs="仿宋"/>
          <w:sz w:val="32"/>
          <w:szCs w:val="32"/>
        </w:rPr>
      </w:pPr>
      <w:r>
        <w:rPr>
          <w:rFonts w:hint="eastAsia" w:ascii="Times New Roman" w:hAnsi="Times New Roman" w:eastAsia="仿宋_GB2312" w:cs="仿宋"/>
          <w:sz w:val="32"/>
          <w:szCs w:val="32"/>
        </w:rPr>
        <w:t xml:space="preserve">                                  202</w:t>
      </w:r>
      <w:r>
        <w:rPr>
          <w:rFonts w:hint="eastAsia" w:ascii="Times New Roman" w:hAnsi="Times New Roman" w:eastAsia="仿宋_GB2312" w:cs="仿宋"/>
          <w:sz w:val="32"/>
          <w:szCs w:val="32"/>
          <w:lang w:val="en-US" w:eastAsia="zh-CN"/>
        </w:rPr>
        <w:t>4</w:t>
      </w:r>
      <w:r>
        <w:rPr>
          <w:rFonts w:hint="eastAsia" w:ascii="Times New Roman" w:hAnsi="Times New Roman" w:eastAsia="仿宋_GB2312" w:cs="仿宋"/>
          <w:sz w:val="32"/>
          <w:szCs w:val="32"/>
        </w:rPr>
        <w:t>年</w:t>
      </w:r>
      <w:r>
        <w:rPr>
          <w:rFonts w:hint="eastAsia" w:ascii="Times New Roman" w:hAnsi="Times New Roman" w:eastAsia="仿宋_GB2312" w:cs="仿宋"/>
          <w:sz w:val="32"/>
          <w:szCs w:val="32"/>
          <w:lang w:val="en-US" w:eastAsia="zh-CN"/>
        </w:rPr>
        <w:t>2</w:t>
      </w:r>
      <w:r>
        <w:rPr>
          <w:rFonts w:hint="eastAsia" w:ascii="Times New Roman" w:hAnsi="Times New Roman" w:eastAsia="仿宋_GB2312" w:cs="仿宋"/>
          <w:sz w:val="32"/>
          <w:szCs w:val="32"/>
        </w:rPr>
        <w:t>月</w:t>
      </w:r>
      <w:r>
        <w:rPr>
          <w:rFonts w:hint="eastAsia" w:ascii="Times New Roman" w:hAnsi="Times New Roman" w:eastAsia="仿宋_GB2312" w:cs="仿宋"/>
          <w:sz w:val="32"/>
          <w:szCs w:val="32"/>
          <w:lang w:val="en-US" w:eastAsia="zh-CN"/>
        </w:rPr>
        <w:t>29</w:t>
      </w:r>
      <w:r>
        <w:rPr>
          <w:rFonts w:hint="eastAsia" w:ascii="Times New Roman" w:hAnsi="Times New Roman" w:eastAsia="仿宋_GB2312" w:cs="仿宋"/>
          <w:sz w:val="32"/>
          <w:szCs w:val="32"/>
        </w:rPr>
        <w:t>日</w:t>
      </w:r>
    </w:p>
    <w:p>
      <w:pPr>
        <w:tabs>
          <w:tab w:val="left" w:pos="7663"/>
        </w:tabs>
        <w:adjustRightInd w:val="0"/>
        <w:snapToGrid w:val="0"/>
        <w:spacing w:line="300" w:lineRule="auto"/>
        <w:jc w:val="left"/>
      </w:pPr>
      <w:r>
        <w:rPr>
          <w:rFonts w:hint="eastAsia"/>
        </w:rPr>
        <w:tab/>
      </w:r>
    </w:p>
    <w:p>
      <w:pPr>
        <w:pStyle w:val="4"/>
        <w:adjustRightInd w:val="0"/>
        <w:spacing w:line="300" w:lineRule="auto"/>
      </w:pPr>
    </w:p>
    <w:p>
      <w:pPr>
        <w:pStyle w:val="4"/>
        <w:adjustRightInd w:val="0"/>
        <w:spacing w:line="300" w:lineRule="auto"/>
      </w:pPr>
    </w:p>
    <w:p>
      <w:pPr>
        <w:pStyle w:val="4"/>
      </w:pPr>
    </w:p>
    <w:p>
      <w:pPr>
        <w:pStyle w:val="4"/>
      </w:pPr>
    </w:p>
    <w:p>
      <w:pPr>
        <w:pStyle w:val="4"/>
      </w:pPr>
    </w:p>
    <w:p>
      <w:pPr>
        <w:overflowPunct w:val="0"/>
        <w:topLinePunct/>
        <w:autoSpaceDN w:val="0"/>
        <w:spacing w:line="560" w:lineRule="exact"/>
        <w:jc w:val="center"/>
        <w:rPr>
          <w:rFonts w:hint="eastAsia" w:ascii="Times New Roman" w:hAnsi="Times New Roman" w:eastAsia="方正小标宋简体" w:cs="Times New Roman"/>
          <w:color w:val="000000"/>
          <w:kern w:val="44"/>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关于进一步优化连云港市工程建设项目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审批制度改革工作的实施方案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460" w:firstLineChars="200"/>
        <w:jc w:val="both"/>
        <w:textAlignment w:val="auto"/>
        <w:rPr>
          <w:rFonts w:hint="default" w:ascii="Times New Roman" w:hAnsi="Times New Roman" w:eastAsia="仿宋_GB2312" w:cs="Times New Roman"/>
          <w:color w:val="auto"/>
          <w:sz w:val="32"/>
          <w:szCs w:val="32"/>
          <w:lang w:val="en-US" w:eastAsia="zh-CN"/>
        </w:rPr>
      </w:pPr>
      <w:r>
        <w:rPr>
          <w:rFonts w:ascii="微软雅黑" w:hAnsi="微软雅黑" w:eastAsia="微软雅黑" w:cs="微软雅黑"/>
          <w:i w:val="0"/>
          <w:iCs w:val="0"/>
          <w:caps w:val="0"/>
          <w:color w:val="auto"/>
          <w:spacing w:val="0"/>
          <w:sz w:val="23"/>
          <w:szCs w:val="23"/>
          <w:shd w:val="clear" w:color="auto" w:fill="FFFFFF"/>
        </w:rPr>
        <w:t> </w:t>
      </w:r>
      <w:r>
        <w:rPr>
          <w:rFonts w:hint="default" w:ascii="Times New Roman" w:hAnsi="Times New Roman" w:eastAsia="仿宋_GB2312" w:cs="Times New Roman"/>
          <w:color w:val="auto"/>
          <w:sz w:val="32"/>
          <w:szCs w:val="32"/>
          <w:lang w:val="en-US" w:eastAsia="zh-CN"/>
        </w:rPr>
        <w:t>为进一步贯彻落实党中央、国务院关于深化“放管服”改革和优化营商环境的决策部署，持续深化工程建设项目审批制度改革，加快推进房屋建筑和城市基础设施等工程建设项目审批标准化、规范化、便利化，结合我市实际情况，制定本优化方案。</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一、工作目标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认真贯彻落实《国务院关于加快推进政务服务标准化规范化便利化的指导意见》《国务院办公厅关于进一步优化营商环境降低市场主体制度性交易成本的意见》《江苏省工程建设项目审批制度改革领导小组办公室关于开展深化工程建设项目审批制度改革第一批重点任务试行的通知》，以改革为动力进一步创新审批服务模式，提高审批服务效率，加快推进项目建设。</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二、主要任务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通过工程建设项目审批管理体系和长效机制配套完善，实现审批管理系统功能再提升，服务各类项目建设，实现项目“早开工、早建设、早竣工、早达效”目标，促进经济运行率先整体好转。</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（一）持续提升审批事项管理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_GB2312" w:hAnsi="楷体_GB2312" w:eastAsia="楷体_GB2312" w:cs="楷体_GB2312"/>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持续优化审批事项。</w:t>
      </w:r>
      <w:r>
        <w:rPr>
          <w:rFonts w:hint="default" w:ascii="Times New Roman" w:hAnsi="Times New Roman" w:eastAsia="仿宋_GB2312" w:cs="Times New Roman"/>
          <w:color w:val="auto"/>
          <w:sz w:val="32"/>
          <w:szCs w:val="32"/>
          <w:lang w:val="en-US" w:eastAsia="zh-CN"/>
        </w:rPr>
        <w:t>根据《江苏省工程建设项目审批（服务）事项清单 （2023 年试行版），进一步统一审批事项办理流程规则和办事指南，推动工程建设项目审批标准化、规范化。针对企业和群众反映强烈的堵点问题，制订切实可行的精简优化措施，最大限度优化审批流程。</w:t>
      </w:r>
      <w:r>
        <w:rPr>
          <w:rFonts w:hint="eastAsia" w:ascii="楷体_GB2312" w:hAnsi="楷体_GB2312" w:eastAsia="楷体_GB2312" w:cs="楷体_GB2312"/>
          <w:color w:val="auto"/>
          <w:sz w:val="32"/>
          <w:szCs w:val="32"/>
          <w:lang w:val="en-US" w:eastAsia="zh-CN"/>
        </w:rPr>
        <w:t>（牵头部门：市工改办；责任部门：市住建局、市政务办，市各有关部门）</w:t>
      </w:r>
    </w:p>
    <w:p>
      <w:pPr>
        <w:pStyle w:val="3"/>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（二）持续提升审批便利度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b/>
          <w:bCs/>
          <w:color w:val="auto"/>
          <w:sz w:val="32"/>
          <w:szCs w:val="32"/>
          <w:lang w:val="en-US" w:eastAsia="zh-CN"/>
        </w:rPr>
        <w:t>2</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深入推进“多测合一”改革。</w:t>
      </w:r>
      <w:r>
        <w:rPr>
          <w:rFonts w:hint="default" w:ascii="Times New Roman" w:hAnsi="Times New Roman" w:eastAsia="仿宋_GB2312" w:cs="Times New Roman"/>
          <w:color w:val="auto"/>
          <w:sz w:val="32"/>
          <w:szCs w:val="32"/>
          <w:lang w:val="en-US" w:eastAsia="zh-CN"/>
        </w:rPr>
        <w:t>持续深化工程建设项目“多测合一”改革，统一成果规范标准，推动江苏省地方标准《工程建设项目“多测合一”技术规程》（DB32／T 4405-2022）落地实施见效，加大“多测合一”管理平台建设力度，严格落实公平竞争审查制度，及时清理和取消本地区涉及测绘服务市场的限制性行业保护政策，积极营造公平开放市场环境。</w:t>
      </w:r>
      <w:r>
        <w:rPr>
          <w:rFonts w:hint="default" w:ascii="楷体_GB2312" w:hAnsi="楷体_GB2312" w:eastAsia="楷体_GB2312" w:cs="楷体_GB2312"/>
          <w:color w:val="auto"/>
          <w:sz w:val="32"/>
          <w:szCs w:val="32"/>
          <w:lang w:val="en-US" w:eastAsia="zh-CN"/>
        </w:rPr>
        <w:t>（牵头部门：市自然资源和规划局；责任部门：市住建局、市政务办）</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default" w:ascii="楷体_GB2312" w:hAnsi="楷体_GB2312" w:eastAsia="楷体_GB2312" w:cs="楷体_GB2312"/>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持续深化区域评估。</w:t>
      </w:r>
      <w:r>
        <w:rPr>
          <w:rFonts w:hint="default" w:ascii="Times New Roman" w:hAnsi="Times New Roman" w:eastAsia="仿宋_GB2312" w:cs="Times New Roman"/>
          <w:color w:val="auto"/>
          <w:sz w:val="32"/>
          <w:szCs w:val="32"/>
          <w:lang w:val="en-US" w:eastAsia="zh-CN"/>
        </w:rPr>
        <w:t>规范实施区域评估工作，有效支撑项目前期策划生成和“拿地即开工”。以实效为导向，综合考虑各区域的规划用途、功能定位、产业方向、项目类型、地理位置、周边环境等因素，根据各事项单项评估开展的适用情形和各区域的客观条件确定，做到“实事求是、应评尽评”。</w:t>
      </w:r>
      <w:r>
        <w:rPr>
          <w:rFonts w:hint="default" w:ascii="楷体_GB2312" w:hAnsi="楷体_GB2312" w:eastAsia="楷体_GB2312" w:cs="楷体_GB2312"/>
          <w:color w:val="auto"/>
          <w:sz w:val="32"/>
          <w:szCs w:val="32"/>
          <w:lang w:val="en-US" w:eastAsia="zh-CN"/>
        </w:rPr>
        <w:t>（牵头单位：市商务局；责任单位：市发改委、</w:t>
      </w:r>
      <w:r>
        <w:rPr>
          <w:rFonts w:hint="eastAsia" w:ascii="楷体_GB2312" w:hAnsi="楷体_GB2312" w:eastAsia="楷体_GB2312" w:cs="楷体_GB2312"/>
          <w:color w:val="auto"/>
          <w:sz w:val="32"/>
          <w:szCs w:val="32"/>
          <w:lang w:val="en-US" w:eastAsia="zh-CN"/>
        </w:rPr>
        <w:t>市工信局、</w:t>
      </w:r>
      <w:r>
        <w:rPr>
          <w:rFonts w:hint="default" w:ascii="楷体_GB2312" w:hAnsi="楷体_GB2312" w:eastAsia="楷体_GB2312" w:cs="楷体_GB2312"/>
          <w:color w:val="auto"/>
          <w:sz w:val="32"/>
          <w:szCs w:val="32"/>
          <w:lang w:val="en-US" w:eastAsia="zh-CN"/>
        </w:rPr>
        <w:t>市自然资源</w:t>
      </w:r>
      <w:r>
        <w:rPr>
          <w:rFonts w:hint="eastAsia" w:ascii="楷体_GB2312" w:hAnsi="楷体_GB2312" w:eastAsia="楷体_GB2312" w:cs="楷体_GB2312"/>
          <w:color w:val="auto"/>
          <w:sz w:val="32"/>
          <w:szCs w:val="32"/>
          <w:lang w:val="en-US" w:eastAsia="zh-CN"/>
        </w:rPr>
        <w:t>和规划</w:t>
      </w:r>
      <w:r>
        <w:rPr>
          <w:rFonts w:hint="default" w:ascii="楷体_GB2312" w:hAnsi="楷体_GB2312" w:eastAsia="楷体_GB2312" w:cs="楷体_GB2312"/>
          <w:color w:val="auto"/>
          <w:sz w:val="32"/>
          <w:szCs w:val="32"/>
          <w:lang w:val="en-US" w:eastAsia="zh-CN"/>
        </w:rPr>
        <w:t>局、市生态环境局、市文广旅局、市住建局、市水利局、市气象局、各地政府或管委会）</w:t>
      </w:r>
    </w:p>
    <w:p>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default" w:ascii="楷体_GB2312" w:hAnsi="楷体_GB2312" w:eastAsia="楷体_GB2312" w:cs="楷体_GB2312"/>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4</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大力提升市政公用报装接入。</w:t>
      </w:r>
      <w:r>
        <w:rPr>
          <w:rFonts w:hint="default" w:ascii="Times New Roman" w:hAnsi="Times New Roman" w:eastAsia="仿宋_GB2312" w:cs="Times New Roman"/>
          <w:color w:val="auto"/>
          <w:sz w:val="32"/>
          <w:szCs w:val="32"/>
          <w:lang w:val="en-US" w:eastAsia="zh-CN"/>
        </w:rPr>
        <w:t>持续加大“一件事”集成服务办理力度，在各级政务服务中心（或行政审批大厅）设立水电气讯视联合报装联合验收一站式服务窗口，指导市政公用服务单位选择并公布一批可以提供联合办理服务的营业网点，并公开联合办理流程、承诺实现、收费项目和标准等信息，同时优化工改系统市政公用报装模块，加强信息共享，实现“一网通办”“多点联办”，材料一次性提交、企业一次办成。</w:t>
      </w:r>
      <w:r>
        <w:rPr>
          <w:rFonts w:hint="default" w:ascii="楷体_GB2312" w:hAnsi="楷体_GB2312" w:eastAsia="楷体_GB2312" w:cs="楷体_GB2312"/>
          <w:color w:val="auto"/>
          <w:kern w:val="2"/>
          <w:sz w:val="32"/>
          <w:szCs w:val="32"/>
          <w:lang w:val="en-US" w:eastAsia="zh-CN" w:bidi="ar-SA"/>
        </w:rPr>
        <w:t>（牵头单位：市住建局；责任单位：市政务办、市供电公司、市自来水公司、市新奥燃气公司、</w:t>
      </w:r>
      <w:r>
        <w:rPr>
          <w:rFonts w:hint="eastAsia" w:ascii="楷体_GB2312" w:hAnsi="楷体_GB2312" w:eastAsia="楷体_GB2312" w:cs="楷体_GB2312"/>
          <w:color w:val="auto"/>
          <w:kern w:val="2"/>
          <w:sz w:val="32"/>
          <w:szCs w:val="32"/>
          <w:lang w:val="en-US" w:eastAsia="zh-CN" w:bidi="ar-SA"/>
        </w:rPr>
        <w:t>江苏有线连云港分公司</w:t>
      </w:r>
      <w:r>
        <w:rPr>
          <w:rFonts w:hint="default" w:ascii="楷体_GB2312" w:hAnsi="楷体_GB2312" w:eastAsia="楷体_GB2312" w:cs="楷体_GB2312"/>
          <w:color w:val="auto"/>
          <w:kern w:val="2"/>
          <w:sz w:val="32"/>
          <w:szCs w:val="32"/>
          <w:lang w:val="en-US" w:eastAsia="zh-CN" w:bidi="ar-SA"/>
        </w:rPr>
        <w:t>、市通管办）</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default" w:ascii="楷体_GB2312" w:hAnsi="楷体_GB2312" w:eastAsia="楷体_GB2312" w:cs="楷体_GB2312"/>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实行分阶段竣工验收。</w:t>
      </w:r>
      <w:r>
        <w:rPr>
          <w:rFonts w:hint="default" w:ascii="Times New Roman" w:hAnsi="Times New Roman" w:eastAsia="仿宋_GB2312" w:cs="Times New Roman"/>
          <w:color w:val="auto"/>
          <w:sz w:val="32"/>
          <w:szCs w:val="32"/>
          <w:lang w:val="en-US" w:eastAsia="zh-CN"/>
        </w:rPr>
        <w:t>对已满足使用功能的单位工程开展单独竣工验收。对办理了一张建设工程规划许可证但涉及多个单位工程的工程建设项目，在符合项目整体质量安全要求、达到安全使用条件的前提下，对已满足使用功能的单位工程可采用单独竣工验收方式。对已验收部分准予投入使用的建设工程，凭借《建设项目竣工联合验收合格意见书》，准予办理不动产首次登记（既有建筑装饰装修工程除外）。</w:t>
      </w:r>
      <w:r>
        <w:rPr>
          <w:rFonts w:hint="default" w:ascii="楷体_GB2312" w:hAnsi="楷体_GB2312" w:eastAsia="楷体_GB2312" w:cs="楷体_GB2312"/>
          <w:color w:val="auto"/>
          <w:sz w:val="32"/>
          <w:szCs w:val="32"/>
          <w:lang w:val="en-US" w:eastAsia="zh-CN"/>
        </w:rPr>
        <w:t>（牵头单位：市住建局；责任单位：市政务办、市住建局、市自然资源和规划局、市教育局、市邮政局、市气象局、市民政局、市市场监督管理局、电水气讯联办相关部门（单位）、市各有关部门）</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楷体_GB2312" w:hAnsi="楷体_GB2312" w:eastAsia="楷体_GB2312" w:cs="楷体_GB2312"/>
          <w:color w:val="auto"/>
          <w:sz w:val="32"/>
          <w:szCs w:val="32"/>
          <w:lang w:val="en-US" w:eastAsia="zh-CN"/>
        </w:rPr>
      </w:pPr>
      <w:r>
        <w:rPr>
          <w:rFonts w:hint="default" w:ascii="Times New Roman" w:hAnsi="Times New Roman" w:eastAsia="仿宋_GB2312" w:cs="Times New Roman"/>
          <w:b/>
          <w:bCs/>
          <w:color w:val="auto"/>
          <w:sz w:val="32"/>
          <w:szCs w:val="32"/>
          <w:lang w:val="en-US" w:eastAsia="zh-CN"/>
        </w:rPr>
        <w:t>6</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推行低风险项目简易审批。</w:t>
      </w:r>
      <w:r>
        <w:rPr>
          <w:rFonts w:hint="default" w:ascii="Times New Roman" w:hAnsi="Times New Roman" w:eastAsia="仿宋_GB2312" w:cs="Times New Roman"/>
          <w:color w:val="auto"/>
          <w:sz w:val="32"/>
          <w:szCs w:val="32"/>
          <w:lang w:val="en-US" w:eastAsia="zh-CN"/>
        </w:rPr>
        <w:t>推行工程建设项目分级分类管理，按照项目所在位置、使用功能、建设内容，将低风险项目分为房屋建筑类、城镇老旧小区改造类、既有建筑装修装饰类三种类型，以低风险项目为“主题”，按照不同的类型，分别建立“情景式”简易审批模式，简化低风险项目审批流程，提升审批服务质量和效率。</w:t>
      </w:r>
      <w:r>
        <w:rPr>
          <w:rFonts w:hint="default" w:ascii="楷体_GB2312" w:hAnsi="楷体_GB2312" w:eastAsia="楷体_GB2312" w:cs="楷体_GB2312"/>
          <w:color w:val="auto"/>
          <w:sz w:val="32"/>
          <w:szCs w:val="32"/>
          <w:lang w:val="en-US" w:eastAsia="zh-CN"/>
        </w:rPr>
        <w:t>（牵头单位：市住建局、市自然资源和规划局；责任单位：市各有关部门）</w:t>
      </w:r>
    </w:p>
    <w:p>
      <w:pPr>
        <w:pStyle w:val="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i w:val="0"/>
          <w:iCs w:val="0"/>
          <w:caps w:val="0"/>
          <w:color w:val="auto"/>
          <w:spacing w:val="0"/>
          <w:sz w:val="32"/>
          <w:szCs w:val="32"/>
          <w:shd w:val="clear" w:color="auto" w:fill="FFFFFF"/>
          <w:lang w:eastAsia="zh-CN"/>
        </w:rPr>
        <w:t>（</w:t>
      </w:r>
      <w:r>
        <w:rPr>
          <w:rFonts w:hint="eastAsia" w:ascii="楷体_GB2312" w:hAnsi="楷体_GB2312" w:eastAsia="楷体_GB2312" w:cs="楷体_GB2312"/>
          <w:i w:val="0"/>
          <w:iCs w:val="0"/>
          <w:caps w:val="0"/>
          <w:color w:val="auto"/>
          <w:spacing w:val="0"/>
          <w:sz w:val="32"/>
          <w:szCs w:val="32"/>
          <w:shd w:val="clear" w:color="auto" w:fill="FFFFFF"/>
          <w:lang w:val="en-US" w:eastAsia="zh-CN"/>
        </w:rPr>
        <w:t>三</w:t>
      </w:r>
      <w:r>
        <w:rPr>
          <w:rFonts w:hint="eastAsia" w:ascii="楷体_GB2312" w:hAnsi="楷体_GB2312" w:eastAsia="楷体_GB2312" w:cs="楷体_GB2312"/>
          <w:i w:val="0"/>
          <w:iCs w:val="0"/>
          <w:caps w:val="0"/>
          <w:color w:val="auto"/>
          <w:spacing w:val="0"/>
          <w:sz w:val="32"/>
          <w:szCs w:val="32"/>
          <w:shd w:val="clear" w:color="auto" w:fill="FFFFFF"/>
          <w:lang w:eastAsia="zh-CN"/>
        </w:rPr>
        <w:t>）</w:t>
      </w:r>
      <w:r>
        <w:rPr>
          <w:rFonts w:hint="eastAsia" w:ascii="楷体_GB2312" w:hAnsi="楷体_GB2312" w:eastAsia="楷体_GB2312" w:cs="楷体_GB2312"/>
          <w:i w:val="0"/>
          <w:iCs w:val="0"/>
          <w:caps w:val="0"/>
          <w:color w:val="auto"/>
          <w:spacing w:val="0"/>
          <w:sz w:val="32"/>
          <w:szCs w:val="32"/>
          <w:shd w:val="clear" w:color="auto" w:fill="FFFFFF"/>
          <w:lang w:val="en-US" w:eastAsia="zh-CN"/>
        </w:rPr>
        <w:t>持续</w:t>
      </w:r>
      <w:r>
        <w:rPr>
          <w:rFonts w:hint="eastAsia" w:ascii="楷体_GB2312" w:hAnsi="楷体_GB2312" w:eastAsia="楷体_GB2312" w:cs="楷体_GB2312"/>
          <w:i w:val="0"/>
          <w:iCs w:val="0"/>
          <w:caps w:val="0"/>
          <w:color w:val="auto"/>
          <w:spacing w:val="0"/>
          <w:sz w:val="32"/>
          <w:szCs w:val="32"/>
          <w:shd w:val="clear" w:color="auto" w:fill="FFFFFF"/>
        </w:rPr>
        <w:t>提升网上办事深度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default" w:ascii="楷体_GB2312" w:hAnsi="楷体_GB2312" w:eastAsia="楷体_GB2312" w:cs="楷体_GB2312"/>
          <w:color w:val="auto"/>
          <w:sz w:val="32"/>
          <w:szCs w:val="32"/>
          <w:lang w:val="en-US" w:eastAsia="zh-CN"/>
        </w:rPr>
      </w:pPr>
      <w:r>
        <w:rPr>
          <w:rFonts w:hint="default" w:ascii="Times New Roman" w:hAnsi="Times New Roman" w:eastAsia="仿宋_GB2312" w:cs="Times New Roman"/>
          <w:b/>
          <w:bCs/>
          <w:color w:val="auto"/>
          <w:sz w:val="32"/>
          <w:szCs w:val="32"/>
          <w:lang w:val="en-US" w:eastAsia="zh-CN"/>
        </w:rPr>
        <w:t>7</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完善系统数据共享机制。</w:t>
      </w:r>
      <w:r>
        <w:rPr>
          <w:rFonts w:hint="default" w:ascii="Times New Roman" w:hAnsi="Times New Roman" w:eastAsia="仿宋_GB2312" w:cs="Times New Roman"/>
          <w:color w:val="auto"/>
          <w:sz w:val="32"/>
          <w:szCs w:val="32"/>
          <w:lang w:val="en-US" w:eastAsia="zh-CN"/>
        </w:rPr>
        <w:t>进一步完善工改系统与投资、规划用地、生态环境、市政公用等系统的信息共享、协同应用机制，大力推进工程建设项目全流程数字化报建，加快推进电子签名、电子印章、电子证照、电子材料、电子档案在网上办理过程中的归集共享。</w:t>
      </w:r>
      <w:r>
        <w:rPr>
          <w:rFonts w:hint="default" w:ascii="楷体_GB2312" w:hAnsi="楷体_GB2312" w:eastAsia="楷体_GB2312" w:cs="楷体_GB2312"/>
          <w:color w:val="auto"/>
          <w:sz w:val="32"/>
          <w:szCs w:val="32"/>
          <w:lang w:val="en-US" w:eastAsia="zh-CN"/>
        </w:rPr>
        <w:t>（牵头部门：市住建局、市政务办；责任部门：市发改委、市自然资源和规划局、市生态环境局）</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default" w:ascii="楷体_GB2312" w:hAnsi="楷体_GB2312" w:eastAsia="楷体_GB2312" w:cs="楷体_GB2312"/>
          <w:color w:val="auto"/>
          <w:sz w:val="32"/>
          <w:szCs w:val="32"/>
          <w:lang w:val="en-US" w:eastAsia="zh-CN"/>
        </w:rPr>
      </w:pPr>
      <w:r>
        <w:rPr>
          <w:rFonts w:hint="default" w:ascii="Times New Roman" w:hAnsi="Times New Roman" w:eastAsia="仿宋_GB2312" w:cs="Times New Roman"/>
          <w:b/>
          <w:bCs/>
          <w:color w:val="auto"/>
          <w:sz w:val="32"/>
          <w:szCs w:val="32"/>
          <w:lang w:val="en-US" w:eastAsia="zh-CN"/>
        </w:rPr>
        <w:t>8</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大力推广网上中介超市应用。</w:t>
      </w:r>
      <w:r>
        <w:rPr>
          <w:rFonts w:hint="default" w:ascii="Times New Roman" w:hAnsi="Times New Roman" w:eastAsia="仿宋_GB2312" w:cs="Times New Roman"/>
          <w:color w:val="auto"/>
          <w:sz w:val="32"/>
          <w:szCs w:val="32"/>
          <w:lang w:val="en-US" w:eastAsia="zh-CN"/>
        </w:rPr>
        <w:t>建立标准规范的涉审中介服务事项清单，积极引导中介服务机构入驻、规范开展网上平台交易，强化中介服务机构监管等工作。推动财政性（国有）资金项目在中介超市选取中介服务机构，鼓励社会投资的项目业主通过中介超市自主选取中介机构。</w:t>
      </w:r>
      <w:r>
        <w:rPr>
          <w:rFonts w:hint="default" w:ascii="楷体_GB2312" w:hAnsi="楷体_GB2312" w:eastAsia="楷体_GB2312" w:cs="楷体_GB2312"/>
          <w:color w:val="auto"/>
          <w:sz w:val="32"/>
          <w:szCs w:val="32"/>
          <w:lang w:val="en-US" w:eastAsia="zh-CN"/>
        </w:rPr>
        <w:t>（牵头单位：市政务办；责任单位：各</w:t>
      </w:r>
      <w:r>
        <w:rPr>
          <w:rFonts w:hint="eastAsia" w:ascii="楷体_GB2312" w:hAnsi="楷体_GB2312" w:eastAsia="楷体_GB2312" w:cs="楷体_GB2312"/>
          <w:color w:val="auto"/>
          <w:sz w:val="32"/>
          <w:szCs w:val="32"/>
          <w:lang w:val="en-US" w:eastAsia="zh-CN"/>
        </w:rPr>
        <w:t>工改</w:t>
      </w:r>
      <w:r>
        <w:rPr>
          <w:rFonts w:hint="default" w:ascii="楷体_GB2312" w:hAnsi="楷体_GB2312" w:eastAsia="楷体_GB2312" w:cs="楷体_GB2312"/>
          <w:color w:val="auto"/>
          <w:sz w:val="32"/>
          <w:szCs w:val="32"/>
          <w:lang w:val="en-US" w:eastAsia="zh-CN"/>
        </w:rPr>
        <w:t>成员单位）</w:t>
      </w:r>
    </w:p>
    <w:p>
      <w:pPr>
        <w:pStyle w:val="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i w:val="0"/>
          <w:iCs w:val="0"/>
          <w:caps w:val="0"/>
          <w:color w:val="auto"/>
          <w:spacing w:val="0"/>
          <w:sz w:val="32"/>
          <w:szCs w:val="32"/>
          <w:shd w:val="clear" w:color="auto" w:fill="FFFFFF"/>
          <w:lang w:eastAsia="zh-CN"/>
        </w:rPr>
        <w:t>（</w:t>
      </w:r>
      <w:r>
        <w:rPr>
          <w:rFonts w:hint="eastAsia" w:ascii="楷体_GB2312" w:hAnsi="楷体_GB2312" w:eastAsia="楷体_GB2312" w:cs="楷体_GB2312"/>
          <w:i w:val="0"/>
          <w:iCs w:val="0"/>
          <w:caps w:val="0"/>
          <w:color w:val="auto"/>
          <w:spacing w:val="0"/>
          <w:sz w:val="32"/>
          <w:szCs w:val="32"/>
          <w:shd w:val="clear" w:color="auto" w:fill="FFFFFF"/>
          <w:lang w:val="en-US" w:eastAsia="zh-CN"/>
        </w:rPr>
        <w:t>四</w:t>
      </w:r>
      <w:r>
        <w:rPr>
          <w:rFonts w:hint="eastAsia" w:ascii="楷体_GB2312" w:hAnsi="楷体_GB2312" w:eastAsia="楷体_GB2312" w:cs="楷体_GB2312"/>
          <w:i w:val="0"/>
          <w:iCs w:val="0"/>
          <w:caps w:val="0"/>
          <w:color w:val="auto"/>
          <w:spacing w:val="0"/>
          <w:sz w:val="32"/>
          <w:szCs w:val="32"/>
          <w:shd w:val="clear" w:color="auto" w:fill="FFFFFF"/>
          <w:lang w:eastAsia="zh-CN"/>
        </w:rPr>
        <w:t>）</w:t>
      </w:r>
      <w:r>
        <w:rPr>
          <w:rFonts w:hint="eastAsia" w:ascii="楷体_GB2312" w:hAnsi="楷体_GB2312" w:eastAsia="楷体_GB2312" w:cs="楷体_GB2312"/>
          <w:i w:val="0"/>
          <w:iCs w:val="0"/>
          <w:caps w:val="0"/>
          <w:color w:val="auto"/>
          <w:spacing w:val="0"/>
          <w:sz w:val="32"/>
          <w:szCs w:val="32"/>
          <w:shd w:val="clear" w:color="auto" w:fill="FFFFFF"/>
          <w:lang w:val="en-US" w:eastAsia="zh-CN"/>
        </w:rPr>
        <w:t>持续提升</w:t>
      </w:r>
      <w:r>
        <w:rPr>
          <w:rFonts w:hint="eastAsia" w:ascii="楷体_GB2312" w:hAnsi="楷体_GB2312" w:eastAsia="楷体_GB2312" w:cs="楷体_GB2312"/>
          <w:i w:val="0"/>
          <w:iCs w:val="0"/>
          <w:caps w:val="0"/>
          <w:color w:val="auto"/>
          <w:spacing w:val="0"/>
          <w:sz w:val="32"/>
          <w:szCs w:val="32"/>
          <w:shd w:val="clear" w:color="auto" w:fill="FFFFFF"/>
        </w:rPr>
        <w:t>审批服务</w:t>
      </w:r>
      <w:r>
        <w:rPr>
          <w:rFonts w:hint="eastAsia" w:ascii="楷体_GB2312" w:hAnsi="楷体_GB2312" w:eastAsia="楷体_GB2312" w:cs="楷体_GB2312"/>
          <w:i w:val="0"/>
          <w:iCs w:val="0"/>
          <w:caps w:val="0"/>
          <w:color w:val="auto"/>
          <w:spacing w:val="0"/>
          <w:sz w:val="32"/>
          <w:szCs w:val="32"/>
          <w:shd w:val="clear" w:color="auto" w:fill="FFFFFF"/>
          <w:lang w:val="en-US" w:eastAsia="zh-CN"/>
        </w:rPr>
        <w:t>水平</w:t>
      </w:r>
    </w:p>
    <w:p>
      <w:pPr>
        <w:pStyle w:val="3"/>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default" w:ascii="楷体_GB2312" w:hAnsi="楷体_GB2312" w:eastAsia="楷体_GB2312" w:cs="楷体_GB2312"/>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9</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kern w:val="2"/>
          <w:sz w:val="32"/>
          <w:szCs w:val="32"/>
          <w:lang w:val="en-US" w:eastAsia="zh-CN" w:bidi="ar-SA"/>
        </w:rPr>
        <w:t>规范审批服务行为。</w:t>
      </w:r>
      <w:r>
        <w:rPr>
          <w:rFonts w:hint="default" w:ascii="Times New Roman" w:hAnsi="Times New Roman" w:eastAsia="仿宋_GB2312" w:cs="Times New Roman"/>
          <w:color w:val="auto"/>
          <w:kern w:val="2"/>
          <w:sz w:val="32"/>
          <w:szCs w:val="32"/>
          <w:lang w:val="en-US" w:eastAsia="zh-CN" w:bidi="ar-SA"/>
        </w:rPr>
        <w:t>严格按照公布的办理流程和实施规范开展审批，不得额外增加或变相增加办理环节、申请材料等。严格审批中技术审查、专家评审、现场勘验等环节管理，在实施规范中明确办理的具体流程和完成时限。持续整治“体外循环”和“隐性审批”问题，严禁申报前增加预审、指定机构事先审查、线下预审线上补录等行为。</w:t>
      </w:r>
      <w:r>
        <w:rPr>
          <w:rFonts w:hint="default" w:ascii="楷体_GB2312" w:hAnsi="楷体_GB2312" w:eastAsia="楷体_GB2312" w:cs="楷体_GB2312"/>
          <w:color w:val="auto"/>
          <w:kern w:val="2"/>
          <w:sz w:val="32"/>
          <w:szCs w:val="32"/>
          <w:lang w:val="en-US" w:eastAsia="zh-CN" w:bidi="ar-SA"/>
        </w:rPr>
        <w:t>（牵头单位：市工改办；责任单位：各</w:t>
      </w:r>
      <w:r>
        <w:rPr>
          <w:rFonts w:hint="eastAsia" w:ascii="楷体_GB2312" w:hAnsi="楷体_GB2312" w:eastAsia="楷体_GB2312" w:cs="楷体_GB2312"/>
          <w:color w:val="auto"/>
          <w:kern w:val="2"/>
          <w:sz w:val="32"/>
          <w:szCs w:val="32"/>
          <w:lang w:val="en-US" w:eastAsia="zh-CN" w:bidi="ar-SA"/>
        </w:rPr>
        <w:t>工改</w:t>
      </w:r>
      <w:r>
        <w:rPr>
          <w:rFonts w:hint="default" w:ascii="楷体_GB2312" w:hAnsi="楷体_GB2312" w:eastAsia="楷体_GB2312" w:cs="楷体_GB2312"/>
          <w:color w:val="auto"/>
          <w:kern w:val="2"/>
          <w:sz w:val="32"/>
          <w:szCs w:val="32"/>
          <w:lang w:val="en-US" w:eastAsia="zh-CN" w:bidi="ar-SA"/>
        </w:rPr>
        <w:t>成员单位）</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default" w:ascii="楷体_GB2312" w:hAnsi="楷体_GB2312" w:eastAsia="楷体_GB2312" w:cs="楷体_GB2312"/>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10</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推行工程建设项目智能帮办代办服务。</w:t>
      </w:r>
      <w:r>
        <w:rPr>
          <w:rFonts w:hint="default" w:ascii="Times New Roman" w:hAnsi="Times New Roman" w:eastAsia="仿宋_GB2312" w:cs="Times New Roman"/>
          <w:color w:val="auto"/>
          <w:sz w:val="32"/>
          <w:szCs w:val="32"/>
          <w:lang w:val="en-US" w:eastAsia="zh-CN"/>
        </w:rPr>
        <w:t>推广线上智能引导辅助申报方式。设置智能引导式菜单，企业可根据项目特点和审批事项范围通过菜单点选办理，同时，系统可自动将企业联系方式和办理事项推送至帮代办人员，逐个项目确定帮代办“管家”，提供全生命周期服务，第一时间靠前服务。</w:t>
      </w:r>
      <w:r>
        <w:rPr>
          <w:rFonts w:hint="default" w:ascii="楷体_GB2312" w:hAnsi="楷体_GB2312" w:eastAsia="楷体_GB2312" w:cs="楷体_GB2312"/>
          <w:color w:val="auto"/>
          <w:kern w:val="2"/>
          <w:sz w:val="32"/>
          <w:szCs w:val="32"/>
          <w:lang w:val="en-US" w:eastAsia="zh-CN" w:bidi="ar-SA"/>
        </w:rPr>
        <w:t>（牵头部门：市住建局、市政务办；责任部门：市各有关部门）</w:t>
      </w:r>
    </w:p>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楷体_GB2312" w:hAnsi="楷体_GB2312" w:eastAsia="楷体_GB2312" w:cs="楷体_GB2312"/>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w:t>
      </w:r>
      <w:r>
        <w:rPr>
          <w:rFonts w:hint="eastAsia" w:ascii="楷体_GB2312" w:hAnsi="楷体_GB2312" w:eastAsia="楷体_GB2312" w:cs="楷体_GB2312"/>
          <w:color w:val="auto"/>
          <w:sz w:val="32"/>
          <w:szCs w:val="32"/>
          <w:lang w:val="en-US" w:eastAsia="zh-CN"/>
        </w:rPr>
        <w:t>（五）加强事中事后监管</w:t>
      </w:r>
    </w:p>
    <w:p>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default" w:ascii="楷体_GB2312" w:hAnsi="楷体_GB2312" w:eastAsia="楷体_GB2312" w:cs="楷体_GB2312"/>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11</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加强审管联动。</w:t>
      </w:r>
      <w:r>
        <w:rPr>
          <w:rFonts w:hint="default" w:ascii="Times New Roman" w:hAnsi="Times New Roman" w:eastAsia="仿宋_GB2312" w:cs="Times New Roman"/>
          <w:color w:val="auto"/>
          <w:sz w:val="32"/>
          <w:szCs w:val="32"/>
          <w:lang w:val="en-US" w:eastAsia="zh-CN"/>
        </w:rPr>
        <w:t>健全审管衔接机制，推动工改系统审批信息与省“市场监管信息平台”、市“综合查一次”平台监管信息</w:t>
      </w:r>
      <w:r>
        <w:rPr>
          <w:rFonts w:hint="eastAsia" w:ascii="Times New Roman" w:hAnsi="Times New Roman" w:eastAsia="仿宋_GB2312" w:cs="Times New Roman"/>
          <w:color w:val="0000FF"/>
          <w:sz w:val="32"/>
          <w:szCs w:val="32"/>
          <w:lang w:val="en-US" w:eastAsia="zh-CN"/>
        </w:rPr>
        <w:t>、</w:t>
      </w:r>
      <w:r>
        <w:rPr>
          <w:rFonts w:hint="eastAsia" w:ascii="Times New Roman" w:hAnsi="Times New Roman" w:eastAsia="仿宋_GB2312" w:cs="Times New Roman"/>
          <w:color w:val="auto"/>
          <w:sz w:val="32"/>
          <w:szCs w:val="32"/>
          <w:lang w:val="en-US" w:eastAsia="zh-CN"/>
        </w:rPr>
        <w:t>市公共信用信息系统信用信息</w:t>
      </w:r>
      <w:r>
        <w:rPr>
          <w:rFonts w:hint="default" w:ascii="Times New Roman" w:hAnsi="Times New Roman" w:eastAsia="仿宋_GB2312" w:cs="Times New Roman"/>
          <w:color w:val="auto"/>
          <w:sz w:val="32"/>
          <w:szCs w:val="32"/>
          <w:lang w:val="en-US" w:eastAsia="zh-CN"/>
        </w:rPr>
        <w:t>实时共享。明确容缺受理和告知承诺审批事项工作规程和监管规则，在规定时间内对补正材料情况和履行告知承诺情况进行核查</w:t>
      </w:r>
      <w:r>
        <w:rPr>
          <w:rFonts w:hint="eastAsia" w:ascii="Times New Roman" w:hAnsi="Times New Roman" w:eastAsia="仿宋_GB2312" w:cs="Times New Roman"/>
          <w:color w:val="auto"/>
          <w:sz w:val="32"/>
          <w:szCs w:val="32"/>
          <w:lang w:val="en-US" w:eastAsia="zh-CN"/>
        </w:rPr>
        <w:t>，相关信用承诺及履诺信息依法记入公共信用信息系统信用档案</w:t>
      </w:r>
      <w:r>
        <w:rPr>
          <w:rFonts w:hint="default" w:ascii="Times New Roman" w:hAnsi="Times New Roman" w:eastAsia="仿宋_GB2312" w:cs="Times New Roman"/>
          <w:color w:val="auto"/>
          <w:sz w:val="32"/>
          <w:szCs w:val="32"/>
          <w:lang w:val="en-US" w:eastAsia="zh-CN"/>
        </w:rPr>
        <w:t>。</w:t>
      </w:r>
      <w:r>
        <w:rPr>
          <w:rFonts w:hint="default" w:ascii="楷体_GB2312" w:hAnsi="楷体_GB2312" w:eastAsia="楷体_GB2312" w:cs="楷体_GB2312"/>
          <w:color w:val="auto"/>
          <w:sz w:val="32"/>
          <w:szCs w:val="32"/>
          <w:lang w:val="en-US" w:eastAsia="zh-CN"/>
        </w:rPr>
        <w:t>（牵头单位：市住建局、市政务办；责任单位：市信用办、市各有关部门）</w:t>
      </w:r>
    </w:p>
    <w:p>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default" w:ascii="楷体_GB2312" w:hAnsi="楷体_GB2312" w:eastAsia="楷体_GB2312" w:cs="楷体_GB2312"/>
          <w:color w:val="auto"/>
          <w:sz w:val="32"/>
          <w:szCs w:val="32"/>
          <w:lang w:val="en-US" w:eastAsia="zh-CN"/>
        </w:rPr>
      </w:pPr>
      <w:r>
        <w:rPr>
          <w:rFonts w:hint="default" w:ascii="Times New Roman" w:hAnsi="Times New Roman" w:eastAsia="仿宋_GB2312" w:cs="Times New Roman"/>
          <w:b/>
          <w:bCs/>
          <w:color w:val="auto"/>
          <w:kern w:val="2"/>
          <w:sz w:val="32"/>
          <w:szCs w:val="32"/>
          <w:lang w:val="en-US" w:eastAsia="zh-CN" w:bidi="ar-SA"/>
        </w:rPr>
        <w:t>12</w:t>
      </w:r>
      <w:r>
        <w:rPr>
          <w:rFonts w:hint="eastAsia"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大力推进数字化监管。</w:t>
      </w:r>
      <w:r>
        <w:rPr>
          <w:rFonts w:hint="default" w:ascii="Times New Roman" w:hAnsi="Times New Roman" w:eastAsia="仿宋_GB2312" w:cs="Times New Roman"/>
          <w:color w:val="auto"/>
          <w:kern w:val="2"/>
          <w:sz w:val="32"/>
          <w:szCs w:val="32"/>
          <w:lang w:val="en-US" w:eastAsia="zh-CN" w:bidi="ar-SA"/>
        </w:rPr>
        <w:t>加快建立单体房屋建筑编码赋码用码机制，推动工程审批系统与建筑市场公共服务平台、质量安全监管平台、智慧工地、房屋安全管理等系统互联互通、协同应用，探索建立工程建设项目设计、施工、验收、运营维护全生命周期数字化监管机制。</w:t>
      </w:r>
      <w:r>
        <w:rPr>
          <w:rFonts w:hint="default" w:ascii="楷体_GB2312" w:hAnsi="楷体_GB2312" w:eastAsia="楷体_GB2312" w:cs="楷体_GB2312"/>
          <w:color w:val="auto"/>
          <w:sz w:val="32"/>
          <w:szCs w:val="32"/>
          <w:lang w:val="en-US" w:eastAsia="zh-CN"/>
        </w:rPr>
        <w:t>（牵头单位：市住建局；责任单位：市各有关部门）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60" w:lineRule="exact"/>
        <w:ind w:left="0" w:right="0" w:firstLine="640" w:firstLineChars="200"/>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三、保障措施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60" w:lineRule="exact"/>
        <w:ind w:left="0" w:right="0"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（一）加强组织协调。</w:t>
      </w:r>
      <w:r>
        <w:rPr>
          <w:rFonts w:hint="default" w:ascii="Times New Roman" w:hAnsi="Times New Roman" w:eastAsia="仿宋_GB2312" w:cs="Times New Roman"/>
          <w:color w:val="auto"/>
          <w:kern w:val="2"/>
          <w:sz w:val="32"/>
          <w:szCs w:val="32"/>
          <w:lang w:val="en-US" w:eastAsia="zh-CN" w:bidi="ar-SA"/>
        </w:rPr>
        <w:t>各县区、各部门要充分认识工程建设项目审批制度改革对促进投资建设、优化营商环境的重要意义，加强组织领导，强化责任落实，持续推动改革不断深化。牢固树立全市“一盘棋”意识，加强部门间协同配合，完善工作机制，健全配套制度，及时协调解决改革工作推进过程中的矛盾问题，形成改革合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60" w:lineRule="exact"/>
        <w:ind w:left="0" w:right="0"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楷体_GB2312" w:hAnsi="楷体_GB2312" w:eastAsia="楷体_GB2312" w:cs="楷体_GB2312"/>
          <w:color w:val="auto"/>
          <w:kern w:val="2"/>
          <w:sz w:val="32"/>
          <w:szCs w:val="32"/>
          <w:lang w:val="en-US" w:eastAsia="zh-CN" w:bidi="ar-SA"/>
        </w:rPr>
        <w:t>（二）强化服务保障。</w:t>
      </w:r>
      <w:r>
        <w:rPr>
          <w:rFonts w:hint="default" w:ascii="Times New Roman" w:hAnsi="Times New Roman" w:eastAsia="仿宋_GB2312" w:cs="Times New Roman"/>
          <w:color w:val="auto"/>
          <w:kern w:val="2"/>
          <w:sz w:val="32"/>
          <w:szCs w:val="32"/>
          <w:lang w:val="en-US" w:eastAsia="zh-CN" w:bidi="ar-SA"/>
        </w:rPr>
        <w:t>各县区、各部门要增强服务意识，主动靠前服务，加强帮办代办，指导帮助企业办理审批事项，及时协调解决工程建设审批过程中遇到的困难和问题。建立政企联系沟通机制，通过多种渠道了解企业和群众意见建议，及时回应企业诉求，切实增强市场经营主体满意度和获得感。严格落实政务服务“好差评”制度，方便企业和群众及时对审批服务作出评价。</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60" w:lineRule="exact"/>
        <w:ind w:left="0" w:right="0" w:firstLine="640" w:firstLineChars="200"/>
        <w:textAlignment w:val="auto"/>
        <w:rPr>
          <w:rFonts w:ascii="Times New Roman" w:hAnsi="Times New Roman" w:eastAsia="仿宋_GB2312" w:cs="宋体"/>
          <w:color w:val="000000"/>
          <w:sz w:val="32"/>
          <w:szCs w:val="32"/>
        </w:rPr>
      </w:pPr>
      <w:r>
        <w:rPr>
          <w:rFonts w:hint="default" w:ascii="楷体_GB2312" w:hAnsi="楷体_GB2312" w:eastAsia="楷体_GB2312" w:cs="楷体_GB2312"/>
          <w:color w:val="auto"/>
          <w:kern w:val="2"/>
          <w:sz w:val="32"/>
          <w:szCs w:val="32"/>
          <w:lang w:val="en-US" w:eastAsia="zh-CN" w:bidi="ar-SA"/>
        </w:rPr>
        <w:t>（三）加强宣传推广和监督评估。</w:t>
      </w:r>
      <w:r>
        <w:rPr>
          <w:rFonts w:hint="default" w:ascii="Times New Roman" w:hAnsi="Times New Roman" w:eastAsia="仿宋_GB2312" w:cs="Times New Roman"/>
          <w:color w:val="auto"/>
          <w:kern w:val="2"/>
          <w:sz w:val="32"/>
          <w:szCs w:val="32"/>
          <w:lang w:val="en-US" w:eastAsia="zh-CN" w:bidi="ar-SA"/>
        </w:rPr>
        <w:t>各县区、各部门要加强改革政策宣传，通过多种形式向社会及时提供通俗易懂的政策解读，使企业和群众及时了解改革政策。完善工程建设项目审批制度改革工作绩效考核指标，坚持以评促改、以评促优，推动工程建设项目审批流程不断优化，审批服务效率不断提升。</w:t>
      </w:r>
    </w:p>
    <w:p>
      <w:pPr>
        <w:pStyle w:val="4"/>
        <w:rPr>
          <w:rFonts w:hint="eastAsia" w:ascii="Times New Roman" w:hAnsi="Times New Roman" w:eastAsia="仿宋_GB2312" w:cs="仿宋"/>
          <w:sz w:val="32"/>
          <w:szCs w:val="32"/>
        </w:rPr>
      </w:pPr>
    </w:p>
    <w:p>
      <w:pPr>
        <w:ind w:left="1598" w:leftChars="304" w:hanging="960" w:hanging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附件：进一步优化连云港市工程建设项目审批制度改革工作任务分解表</w:t>
      </w: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sectPr>
          <w:footerReference r:id="rId3" w:type="default"/>
          <w:pgSz w:w="11906" w:h="16838"/>
          <w:pgMar w:top="1440" w:right="1406" w:bottom="1440" w:left="1406" w:header="851" w:footer="992" w:gutter="0"/>
          <w:pgNumType w:fmt="decimal"/>
          <w:cols w:space="0"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w:t>
      </w:r>
    </w:p>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黑体" w:hAnsi="黑体" w:eastAsia="黑体" w:cs="黑体"/>
          <w:color w:val="auto"/>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进一步优化连云港市工程建设项目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val="en-US" w:eastAsia="zh-CN"/>
        </w:rPr>
        <w:t>审批制度改革工作</w:t>
      </w:r>
      <w:r>
        <w:rPr>
          <w:rFonts w:hint="eastAsia" w:ascii="方正小标宋简体" w:hAnsi="方正小标宋简体" w:eastAsia="方正小标宋简体" w:cs="方正小标宋简体"/>
          <w:color w:val="auto"/>
          <w:sz w:val="44"/>
          <w:szCs w:val="44"/>
          <w:lang w:eastAsia="zh-CN"/>
        </w:rPr>
        <w:t>任务分解表</w:t>
      </w:r>
    </w:p>
    <w:tbl>
      <w:tblPr>
        <w:tblStyle w:val="9"/>
        <w:tblpPr w:leftFromText="180" w:rightFromText="180" w:vertAnchor="text" w:horzAnchor="page" w:tblpXSpec="center" w:tblpY="11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5"/>
        <w:gridCol w:w="1952"/>
        <w:gridCol w:w="4900"/>
        <w:gridCol w:w="2050"/>
        <w:gridCol w:w="2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blHeader/>
          <w:jc w:val="center"/>
        </w:trPr>
        <w:tc>
          <w:tcPr>
            <w:tcW w:w="116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序号</w:t>
            </w:r>
          </w:p>
        </w:tc>
        <w:tc>
          <w:tcPr>
            <w:tcW w:w="1952"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主要任务</w:t>
            </w:r>
          </w:p>
        </w:tc>
        <w:tc>
          <w:tcPr>
            <w:tcW w:w="490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具体内容</w:t>
            </w:r>
          </w:p>
        </w:tc>
        <w:tc>
          <w:tcPr>
            <w:tcW w:w="205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牵头单位</w:t>
            </w:r>
          </w:p>
        </w:tc>
        <w:tc>
          <w:tcPr>
            <w:tcW w:w="290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8"/>
                <w:szCs w:val="28"/>
                <w:vertAlign w:val="baseline"/>
                <w:lang w:eastAsia="zh-CN"/>
              </w:rPr>
            </w:pPr>
            <w:r>
              <w:rPr>
                <w:rFonts w:hint="eastAsia" w:ascii="黑体" w:hAnsi="黑体" w:eastAsia="黑体" w:cs="黑体"/>
                <w:color w:val="auto"/>
                <w:sz w:val="28"/>
                <w:szCs w:val="28"/>
                <w:vertAlign w:val="baseline"/>
                <w:lang w:eastAsia="zh-CN"/>
              </w:rPr>
              <w:t>责任单位</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dxa"/>
            <w:noWrap w:val="0"/>
            <w:vAlign w:val="center"/>
          </w:tcPr>
          <w:p>
            <w:pPr>
              <w:jc w:val="center"/>
              <w:rPr>
                <w:rFonts w:hint="default" w:ascii="Times New Roman" w:hAnsi="Times New Roman" w:eastAsia="宋体"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952" w:type="dxa"/>
            <w:noWrap w:val="0"/>
            <w:vAlign w:val="center"/>
          </w:tcPr>
          <w:p>
            <w:pPr>
              <w:jc w:val="center"/>
              <w:rPr>
                <w:rFonts w:hint="eastAsia" w:eastAsia="宋体"/>
                <w:color w:val="auto"/>
                <w:vertAlign w:val="baseline"/>
                <w:lang w:eastAsia="zh-CN"/>
              </w:rPr>
            </w:pPr>
            <w:r>
              <w:rPr>
                <w:rFonts w:hint="eastAsia"/>
                <w:color w:val="auto"/>
                <w:vertAlign w:val="baseline"/>
                <w:lang w:eastAsia="zh-CN"/>
              </w:rPr>
              <w:t>持续优化审批事项</w:t>
            </w:r>
          </w:p>
        </w:tc>
        <w:tc>
          <w:tcPr>
            <w:tcW w:w="4900" w:type="dxa"/>
            <w:noWrap w:val="0"/>
            <w:vAlign w:val="top"/>
          </w:tcPr>
          <w:p>
            <w:pPr>
              <w:rPr>
                <w:color w:val="auto"/>
              </w:rPr>
            </w:pPr>
            <w:r>
              <w:rPr>
                <w:rFonts w:hint="eastAsia"/>
                <w:color w:val="auto"/>
                <w:lang w:val="en-US" w:eastAsia="zh-CN"/>
              </w:rPr>
              <w:t>根据《江苏省工程建设项目审批（服务）事项清单 （2023 年试行版），进一步统一审批事项办理流程规则和办事指南，推动工程建设项目审批标准化、规范化。针对企业和群众反映强烈的堵点问题，制订切实可行的精简优化措施，最大限度优化审批流程。</w:t>
            </w:r>
          </w:p>
        </w:tc>
        <w:tc>
          <w:tcPr>
            <w:tcW w:w="2050" w:type="dxa"/>
            <w:noWrap w:val="0"/>
            <w:vAlign w:val="center"/>
          </w:tcPr>
          <w:p>
            <w:pPr>
              <w:jc w:val="center"/>
              <w:rPr>
                <w:rFonts w:hint="eastAsia" w:eastAsia="宋体"/>
                <w:color w:val="auto"/>
                <w:vertAlign w:val="baseline"/>
                <w:lang w:eastAsia="zh-CN"/>
              </w:rPr>
            </w:pPr>
            <w:r>
              <w:rPr>
                <w:rFonts w:hint="eastAsia"/>
                <w:color w:val="auto"/>
                <w:vertAlign w:val="baseline"/>
                <w:lang w:eastAsia="zh-CN"/>
              </w:rPr>
              <w:t>市工改办</w:t>
            </w:r>
          </w:p>
        </w:tc>
        <w:tc>
          <w:tcPr>
            <w:tcW w:w="2905" w:type="dxa"/>
            <w:noWrap w:val="0"/>
            <w:vAlign w:val="center"/>
          </w:tcPr>
          <w:p>
            <w:pPr>
              <w:jc w:val="center"/>
              <w:rPr>
                <w:rFonts w:hint="eastAsia"/>
                <w:color w:val="auto"/>
                <w:lang w:val="en-US" w:eastAsia="zh-CN"/>
              </w:rPr>
            </w:pPr>
            <w:r>
              <w:rPr>
                <w:rFonts w:hint="eastAsia"/>
                <w:color w:val="auto"/>
                <w:lang w:val="en-US" w:eastAsia="zh-CN"/>
              </w:rPr>
              <w:t>市住建局、市政务办，</w:t>
            </w:r>
          </w:p>
          <w:p>
            <w:pPr>
              <w:jc w:val="center"/>
              <w:rPr>
                <w:color w:val="auto"/>
              </w:rPr>
            </w:pPr>
            <w:r>
              <w:rPr>
                <w:rFonts w:hint="eastAsia"/>
                <w:color w:val="auto"/>
                <w:lang w:val="en-US" w:eastAsia="zh-CN"/>
              </w:rPr>
              <w:t>市各有关部门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atLeast"/>
          <w:jc w:val="center"/>
        </w:trPr>
        <w:tc>
          <w:tcPr>
            <w:tcW w:w="1165" w:type="dxa"/>
            <w:noWrap w:val="0"/>
            <w:vAlign w:val="center"/>
          </w:tcPr>
          <w:p>
            <w:pPr>
              <w:jc w:val="center"/>
              <w:rPr>
                <w:rFonts w:hint="default" w:ascii="Times New Roman" w:hAnsi="Times New Roman" w:eastAsia="宋体" w:cs="Times New Roman"/>
                <w:color w:val="auto"/>
                <w:vertAlign w:val="baseline"/>
                <w:lang w:val="en-US" w:eastAsia="zh-CN"/>
              </w:rPr>
            </w:pPr>
            <w:r>
              <w:rPr>
                <w:rFonts w:hint="default" w:ascii="Times New Roman" w:hAnsi="Times New Roman" w:cs="Times New Roman"/>
                <w:color w:val="auto"/>
                <w:vertAlign w:val="baseline"/>
                <w:lang w:val="en-US" w:eastAsia="zh-CN"/>
              </w:rPr>
              <w:t>2</w:t>
            </w:r>
          </w:p>
        </w:tc>
        <w:tc>
          <w:tcPr>
            <w:tcW w:w="1952" w:type="dxa"/>
            <w:noWrap w:val="0"/>
            <w:vAlign w:val="center"/>
          </w:tcPr>
          <w:p>
            <w:pPr>
              <w:jc w:val="center"/>
              <w:rPr>
                <w:color w:val="auto"/>
              </w:rPr>
            </w:pPr>
            <w:r>
              <w:rPr>
                <w:rFonts w:hint="eastAsia"/>
                <w:color w:val="auto"/>
                <w:lang w:val="en-US" w:eastAsia="zh-CN"/>
              </w:rPr>
              <w:t>深入推进“多测合一”改革</w:t>
            </w:r>
          </w:p>
        </w:tc>
        <w:tc>
          <w:tcPr>
            <w:tcW w:w="4900" w:type="dxa"/>
            <w:noWrap w:val="0"/>
            <w:vAlign w:val="top"/>
          </w:tcPr>
          <w:p>
            <w:r>
              <w:rPr>
                <w:rFonts w:hint="default"/>
                <w:lang w:val="en-US" w:eastAsia="zh-CN"/>
              </w:rPr>
              <w:t>持续深化工程建设项目“多测合一”改革，统一成果规范标准，推动江苏省地方标准《工程建设项目“多测合一”技术规程》（DB32／T 4405-2022）落地实施见效，加大“多测合一”管理平台建设力度，严格落实公平竞争审查制度，及时清理和取消本地区涉及测绘服务市场的限制性行业保护政策，积极营造公平开放市场环境。</w:t>
            </w:r>
          </w:p>
        </w:tc>
        <w:tc>
          <w:tcPr>
            <w:tcW w:w="2050" w:type="dxa"/>
            <w:noWrap w:val="0"/>
            <w:vAlign w:val="center"/>
          </w:tcPr>
          <w:p>
            <w:pPr>
              <w:jc w:val="center"/>
              <w:rPr>
                <w:rFonts w:hint="eastAsia"/>
                <w:color w:val="auto"/>
                <w:vertAlign w:val="baseline"/>
                <w:lang w:eastAsia="zh-CN"/>
              </w:rPr>
            </w:pPr>
            <w:r>
              <w:rPr>
                <w:rFonts w:hint="eastAsia"/>
                <w:color w:val="auto"/>
                <w:vertAlign w:val="baseline"/>
                <w:lang w:eastAsia="zh-CN"/>
              </w:rPr>
              <w:t>市自然资源和</w:t>
            </w:r>
          </w:p>
          <w:p>
            <w:pPr>
              <w:jc w:val="center"/>
              <w:rPr>
                <w:rFonts w:hint="eastAsia" w:eastAsia="宋体"/>
                <w:color w:val="auto"/>
                <w:vertAlign w:val="baseline"/>
                <w:lang w:eastAsia="zh-CN"/>
              </w:rPr>
            </w:pPr>
            <w:r>
              <w:rPr>
                <w:rFonts w:hint="eastAsia"/>
                <w:color w:val="auto"/>
                <w:vertAlign w:val="baseline"/>
                <w:lang w:eastAsia="zh-CN"/>
              </w:rPr>
              <w:t>规划局</w:t>
            </w:r>
          </w:p>
        </w:tc>
        <w:tc>
          <w:tcPr>
            <w:tcW w:w="2905" w:type="dxa"/>
            <w:noWrap w:val="0"/>
            <w:vAlign w:val="center"/>
          </w:tcPr>
          <w:p>
            <w:pPr>
              <w:jc w:val="center"/>
              <w:rPr>
                <w:color w:val="auto"/>
              </w:rPr>
            </w:pPr>
            <w:r>
              <w:rPr>
                <w:rFonts w:hint="eastAsia"/>
                <w:color w:val="auto"/>
                <w:lang w:val="en-US" w:eastAsia="zh-CN"/>
              </w:rPr>
              <w:t>市住建局、市政务办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jc w:val="center"/>
        </w:trPr>
        <w:tc>
          <w:tcPr>
            <w:tcW w:w="1165" w:type="dxa"/>
            <w:noWrap w:val="0"/>
            <w:vAlign w:val="center"/>
          </w:tcPr>
          <w:p>
            <w:pPr>
              <w:jc w:val="center"/>
              <w:rPr>
                <w:rFonts w:hint="default" w:ascii="Times New Roman" w:hAnsi="Times New Roman" w:eastAsia="宋体" w:cs="Times New Roman"/>
                <w:color w:val="auto"/>
                <w:vertAlign w:val="baseline"/>
                <w:lang w:val="en-US" w:eastAsia="zh-CN"/>
              </w:rPr>
            </w:pPr>
            <w:r>
              <w:rPr>
                <w:rFonts w:hint="default" w:ascii="Times New Roman" w:hAnsi="Times New Roman" w:cs="Times New Roman"/>
                <w:color w:val="auto"/>
                <w:vertAlign w:val="baseline"/>
                <w:lang w:val="en-US" w:eastAsia="zh-CN"/>
              </w:rPr>
              <w:t>3</w:t>
            </w:r>
          </w:p>
        </w:tc>
        <w:tc>
          <w:tcPr>
            <w:tcW w:w="1952" w:type="dxa"/>
            <w:noWrap w:val="0"/>
            <w:vAlign w:val="center"/>
          </w:tcPr>
          <w:p>
            <w:pPr>
              <w:jc w:val="center"/>
              <w:rPr>
                <w:color w:val="auto"/>
              </w:rPr>
            </w:pPr>
            <w:r>
              <w:rPr>
                <w:rFonts w:hint="eastAsia"/>
                <w:color w:val="auto"/>
                <w:lang w:val="en-US" w:eastAsia="zh-CN"/>
              </w:rPr>
              <w:t>持续深化区域评估</w:t>
            </w:r>
          </w:p>
        </w:tc>
        <w:tc>
          <w:tcPr>
            <w:tcW w:w="4900" w:type="dxa"/>
            <w:noWrap w:val="0"/>
            <w:vAlign w:val="top"/>
          </w:tcPr>
          <w:p>
            <w:r>
              <w:rPr>
                <w:rFonts w:hint="default"/>
                <w:lang w:val="en-US" w:eastAsia="zh-CN"/>
              </w:rPr>
              <w:t>规范实施区域评估工作，有效支撑项目前期策划生成和“拿地即开工”。以实效为导向，综合考虑各区域的规划用途、功能定位、产业方向、项目类型、地理位置、周边环境等因素，根据各事项单项评估开展的适用情形和各区域的客观条件确定，做到“实事求是、应评尽评”。</w:t>
            </w:r>
          </w:p>
        </w:tc>
        <w:tc>
          <w:tcPr>
            <w:tcW w:w="2050" w:type="dxa"/>
            <w:noWrap w:val="0"/>
            <w:vAlign w:val="center"/>
          </w:tcPr>
          <w:p>
            <w:pPr>
              <w:jc w:val="center"/>
              <w:rPr>
                <w:rFonts w:hint="eastAsia" w:eastAsia="宋体"/>
                <w:color w:val="auto"/>
                <w:vertAlign w:val="baseline"/>
                <w:lang w:eastAsia="zh-CN"/>
              </w:rPr>
            </w:pPr>
            <w:r>
              <w:rPr>
                <w:rFonts w:hint="eastAsia"/>
                <w:color w:val="auto"/>
                <w:vertAlign w:val="baseline"/>
                <w:lang w:eastAsia="zh-CN"/>
              </w:rPr>
              <w:t>市商务局</w:t>
            </w:r>
          </w:p>
        </w:tc>
        <w:tc>
          <w:tcPr>
            <w:tcW w:w="2905" w:type="dxa"/>
            <w:noWrap w:val="0"/>
            <w:vAlign w:val="center"/>
          </w:tcPr>
          <w:p>
            <w:r>
              <w:rPr>
                <w:rFonts w:hint="default"/>
                <w:lang w:val="en-US" w:eastAsia="zh-CN"/>
              </w:rPr>
              <w:t>市发改委、</w:t>
            </w:r>
            <w:r>
              <w:rPr>
                <w:rFonts w:hint="eastAsia"/>
                <w:lang w:val="en-US" w:eastAsia="zh-CN"/>
              </w:rPr>
              <w:t>市工信局、</w:t>
            </w:r>
            <w:r>
              <w:rPr>
                <w:rFonts w:hint="default"/>
                <w:lang w:val="en-US" w:eastAsia="zh-CN"/>
              </w:rPr>
              <w:t>市自然资源</w:t>
            </w:r>
            <w:r>
              <w:rPr>
                <w:rFonts w:hint="eastAsia"/>
                <w:lang w:val="en-US" w:eastAsia="zh-CN"/>
              </w:rPr>
              <w:t>和规划</w:t>
            </w:r>
            <w:r>
              <w:rPr>
                <w:rFonts w:hint="default"/>
                <w:lang w:val="en-US" w:eastAsia="zh-CN"/>
              </w:rPr>
              <w:t>局、市生态环境局、市文广旅局、市住建局、市水利局、市气象局、各地政府或管委会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dxa"/>
            <w:noWrap w:val="0"/>
            <w:vAlign w:val="center"/>
          </w:tcPr>
          <w:p>
            <w:pPr>
              <w:jc w:val="center"/>
              <w:rPr>
                <w:rFonts w:hint="default" w:ascii="Times New Roman" w:hAnsi="Times New Roman" w:eastAsia="宋体" w:cs="Times New Roman"/>
                <w:color w:val="auto"/>
                <w:vertAlign w:val="baseline"/>
                <w:lang w:val="en-US" w:eastAsia="zh-CN"/>
              </w:rPr>
            </w:pPr>
            <w:r>
              <w:rPr>
                <w:rFonts w:hint="default" w:ascii="Times New Roman" w:hAnsi="Times New Roman" w:cs="Times New Roman"/>
                <w:color w:val="auto"/>
                <w:vertAlign w:val="baseline"/>
                <w:lang w:val="en-US" w:eastAsia="zh-CN"/>
              </w:rPr>
              <w:t>4</w:t>
            </w:r>
          </w:p>
        </w:tc>
        <w:tc>
          <w:tcPr>
            <w:tcW w:w="1952" w:type="dxa"/>
            <w:noWrap w:val="0"/>
            <w:vAlign w:val="center"/>
          </w:tcPr>
          <w:p>
            <w:pPr>
              <w:jc w:val="center"/>
              <w:rPr>
                <w:color w:val="auto"/>
              </w:rPr>
            </w:pPr>
            <w:r>
              <w:rPr>
                <w:rFonts w:hint="eastAsia"/>
                <w:color w:val="auto"/>
                <w:lang w:val="en-US" w:eastAsia="zh-CN"/>
              </w:rPr>
              <w:t>大力提升市政公用报装接入</w:t>
            </w:r>
          </w:p>
        </w:tc>
        <w:tc>
          <w:tcPr>
            <w:tcW w:w="4900" w:type="dxa"/>
            <w:noWrap w:val="0"/>
            <w:vAlign w:val="top"/>
          </w:tcPr>
          <w:p>
            <w:pPr>
              <w:rPr>
                <w:color w:val="auto"/>
              </w:rPr>
            </w:pPr>
            <w:r>
              <w:rPr>
                <w:rFonts w:hint="eastAsia"/>
                <w:color w:val="auto"/>
                <w:lang w:val="en-US" w:eastAsia="zh-CN"/>
              </w:rPr>
              <w:t>持续加大“一件事”集成服务办理力度，在各级政务服务中心（或行政审批大厅）设立水电气讯视联合报装联合验收一站式服务窗口，指导市政公用服务单位选择并公布一批可以提供联合办理服务的营业网点，并公开联合办理流程、承诺实现、收费项目和标准等信息，同时优化工改系统市政公用报装模块，加强信息共享，实现“一网通办”“多点联办”，材料一次性提交、企业一次办成。</w:t>
            </w:r>
          </w:p>
        </w:tc>
        <w:tc>
          <w:tcPr>
            <w:tcW w:w="2050" w:type="dxa"/>
            <w:noWrap w:val="0"/>
            <w:vAlign w:val="center"/>
          </w:tcPr>
          <w:p>
            <w:pPr>
              <w:jc w:val="center"/>
              <w:rPr>
                <w:rFonts w:hint="eastAsia" w:eastAsia="宋体"/>
                <w:color w:val="auto"/>
                <w:vertAlign w:val="baseline"/>
                <w:lang w:eastAsia="zh-CN"/>
              </w:rPr>
            </w:pPr>
            <w:r>
              <w:rPr>
                <w:rFonts w:hint="eastAsia"/>
                <w:color w:val="auto"/>
                <w:vertAlign w:val="baseline"/>
                <w:lang w:eastAsia="zh-CN"/>
              </w:rPr>
              <w:t>市住建局</w:t>
            </w:r>
          </w:p>
        </w:tc>
        <w:tc>
          <w:tcPr>
            <w:tcW w:w="2905" w:type="dxa"/>
            <w:noWrap w:val="0"/>
            <w:vAlign w:val="center"/>
          </w:tcPr>
          <w:p>
            <w:pPr>
              <w:jc w:val="center"/>
              <w:rPr>
                <w:color w:val="auto"/>
              </w:rPr>
            </w:pPr>
            <w:r>
              <w:rPr>
                <w:rFonts w:hint="eastAsia"/>
                <w:color w:val="auto"/>
                <w:lang w:val="en-US" w:eastAsia="zh-CN"/>
              </w:rPr>
              <w:t>市政务办、市供电公司、市自来水公司、市新奥燃气公司、江苏有线连云港分公司、市通管办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dxa"/>
            <w:noWrap w:val="0"/>
            <w:vAlign w:val="center"/>
          </w:tcPr>
          <w:p>
            <w:pPr>
              <w:jc w:val="center"/>
              <w:rPr>
                <w:rFonts w:hint="default" w:ascii="Times New Roman" w:hAnsi="Times New Roman" w:eastAsia="宋体" w:cs="Times New Roman"/>
                <w:color w:val="auto"/>
                <w:vertAlign w:val="baseline"/>
                <w:lang w:val="en-US" w:eastAsia="zh-CN"/>
              </w:rPr>
            </w:pPr>
            <w:r>
              <w:rPr>
                <w:rFonts w:hint="default" w:ascii="Times New Roman" w:hAnsi="Times New Roman" w:cs="Times New Roman"/>
                <w:color w:val="auto"/>
                <w:vertAlign w:val="baseline"/>
                <w:lang w:val="en-US" w:eastAsia="zh-CN"/>
              </w:rPr>
              <w:t>5</w:t>
            </w:r>
          </w:p>
        </w:tc>
        <w:tc>
          <w:tcPr>
            <w:tcW w:w="1952" w:type="dxa"/>
            <w:noWrap w:val="0"/>
            <w:vAlign w:val="center"/>
          </w:tcPr>
          <w:p>
            <w:pPr>
              <w:jc w:val="center"/>
              <w:rPr>
                <w:rFonts w:hint="eastAsia"/>
                <w:color w:val="auto"/>
                <w:lang w:val="en-US" w:eastAsia="zh-CN"/>
              </w:rPr>
            </w:pPr>
            <w:r>
              <w:rPr>
                <w:rFonts w:hint="eastAsia"/>
                <w:color w:val="auto"/>
                <w:lang w:val="en-US" w:eastAsia="zh-CN"/>
              </w:rPr>
              <w:t>实行分阶段竣工</w:t>
            </w:r>
          </w:p>
          <w:p>
            <w:pPr>
              <w:jc w:val="center"/>
              <w:rPr>
                <w:color w:val="auto"/>
              </w:rPr>
            </w:pPr>
            <w:r>
              <w:rPr>
                <w:rFonts w:hint="eastAsia"/>
                <w:color w:val="auto"/>
                <w:lang w:val="en-US" w:eastAsia="zh-CN"/>
              </w:rPr>
              <w:t>验收</w:t>
            </w:r>
          </w:p>
        </w:tc>
        <w:tc>
          <w:tcPr>
            <w:tcW w:w="4900"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color w:val="auto"/>
              </w:rPr>
            </w:pPr>
            <w:r>
              <w:rPr>
                <w:rFonts w:hint="eastAsia"/>
                <w:color w:val="auto"/>
                <w:lang w:val="en-US" w:eastAsia="zh-CN"/>
              </w:rPr>
              <w:t>对已满足使用功能的单位工程开展单独竣工验收。对办理了一张建设工程规划许可证但涉及多个单位工程的工程建设项目，在符合项目整体质量安全要求、达到安全使用条件的前提下，对已满足使用功能的单位工程可采用单独竣工验收方式。对已验收部分准予投入使用的建设工程，凭借《建设项目竣工联合验收合格意见书》，准予办理不动产首次登记（既有建筑装饰装修工程除外）</w:t>
            </w:r>
          </w:p>
        </w:tc>
        <w:tc>
          <w:tcPr>
            <w:tcW w:w="2050" w:type="dxa"/>
            <w:noWrap w:val="0"/>
            <w:vAlign w:val="center"/>
          </w:tcPr>
          <w:p>
            <w:pPr>
              <w:jc w:val="center"/>
              <w:rPr>
                <w:rFonts w:hint="eastAsia" w:eastAsia="宋体"/>
                <w:color w:val="auto"/>
                <w:vertAlign w:val="baseline"/>
                <w:lang w:eastAsia="zh-CN"/>
              </w:rPr>
            </w:pPr>
            <w:r>
              <w:rPr>
                <w:rFonts w:hint="eastAsia"/>
                <w:color w:val="auto"/>
                <w:vertAlign w:val="baseline"/>
                <w:lang w:eastAsia="zh-CN"/>
              </w:rPr>
              <w:t>市住建局</w:t>
            </w:r>
          </w:p>
        </w:tc>
        <w:tc>
          <w:tcPr>
            <w:tcW w:w="2905" w:type="dxa"/>
            <w:noWrap w:val="0"/>
            <w:vAlign w:val="center"/>
          </w:tcPr>
          <w:p>
            <w:pPr>
              <w:jc w:val="center"/>
              <w:rPr>
                <w:rFonts w:hint="eastAsia" w:eastAsia="宋体"/>
                <w:color w:val="auto"/>
                <w:vertAlign w:val="baseline"/>
                <w:lang w:eastAsia="zh-CN"/>
              </w:rPr>
            </w:pPr>
            <w:r>
              <w:rPr>
                <w:rFonts w:hint="eastAsia"/>
                <w:color w:val="auto"/>
                <w:vertAlign w:val="baseline"/>
                <w:lang w:eastAsia="zh-CN"/>
              </w:rPr>
              <w:t>市政务办、市住建局、市自然资源和规划局、市教育局、市邮政局、市气象局、市民政局、市市场监督管理局、电水气讯联办相关部门（单位）、市各有关部门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dxa"/>
            <w:noWrap w:val="0"/>
            <w:vAlign w:val="center"/>
          </w:tcPr>
          <w:p>
            <w:pPr>
              <w:jc w:val="center"/>
              <w:rPr>
                <w:rFonts w:hint="default" w:ascii="Times New Roman" w:hAnsi="Times New Roman" w:eastAsia="宋体" w:cs="Times New Roman"/>
                <w:color w:val="auto"/>
                <w:vertAlign w:val="baseline"/>
                <w:lang w:val="en-US" w:eastAsia="zh-CN"/>
              </w:rPr>
            </w:pPr>
            <w:r>
              <w:rPr>
                <w:rFonts w:hint="default" w:ascii="Times New Roman" w:hAnsi="Times New Roman" w:cs="Times New Roman"/>
                <w:color w:val="auto"/>
                <w:vertAlign w:val="baseline"/>
                <w:lang w:val="en-US" w:eastAsia="zh-CN"/>
              </w:rPr>
              <w:t>6</w:t>
            </w:r>
          </w:p>
        </w:tc>
        <w:tc>
          <w:tcPr>
            <w:tcW w:w="1952" w:type="dxa"/>
            <w:noWrap w:val="0"/>
            <w:vAlign w:val="center"/>
          </w:tcPr>
          <w:p>
            <w:pPr>
              <w:jc w:val="center"/>
              <w:rPr>
                <w:rFonts w:hint="eastAsia"/>
                <w:color w:val="auto"/>
                <w:lang w:val="en-US" w:eastAsia="zh-CN"/>
              </w:rPr>
            </w:pPr>
            <w:r>
              <w:rPr>
                <w:rFonts w:hint="eastAsia"/>
                <w:color w:val="auto"/>
                <w:lang w:val="en-US" w:eastAsia="zh-CN"/>
              </w:rPr>
              <w:t>推行低风险项目</w:t>
            </w:r>
          </w:p>
          <w:p>
            <w:pPr>
              <w:jc w:val="center"/>
              <w:rPr>
                <w:color w:val="auto"/>
              </w:rPr>
            </w:pPr>
            <w:r>
              <w:rPr>
                <w:rFonts w:hint="eastAsia"/>
                <w:color w:val="auto"/>
                <w:lang w:val="en-US" w:eastAsia="zh-CN"/>
              </w:rPr>
              <w:t>简易审批</w:t>
            </w:r>
          </w:p>
        </w:tc>
        <w:tc>
          <w:tcPr>
            <w:tcW w:w="4900"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color w:val="auto"/>
              </w:rPr>
            </w:pPr>
            <w:r>
              <w:rPr>
                <w:rFonts w:hint="eastAsia"/>
                <w:color w:val="auto"/>
                <w:lang w:val="en-US" w:eastAsia="zh-CN"/>
              </w:rPr>
              <w:t>推行工程建设项目分级分类管理，按照项目所在位置、使用功能、建设内容，将低风险项目分为房屋建筑类、城镇老旧小区改造类、既有建筑装修装饰类三种类型，以低风险项目为“主题”，按照不同的类型，分别建立“情景式”简易审批模式，简化低风险项目审批流程，提升审批服务质量和效率。</w:t>
            </w:r>
          </w:p>
        </w:tc>
        <w:tc>
          <w:tcPr>
            <w:tcW w:w="2050" w:type="dxa"/>
            <w:noWrap w:val="0"/>
            <w:vAlign w:val="center"/>
          </w:tcPr>
          <w:p>
            <w:pPr>
              <w:jc w:val="center"/>
              <w:rPr>
                <w:color w:val="auto"/>
              </w:rPr>
            </w:pPr>
            <w:r>
              <w:rPr>
                <w:rFonts w:hint="eastAsia"/>
                <w:color w:val="auto"/>
                <w:lang w:val="en-US" w:eastAsia="zh-CN"/>
              </w:rPr>
              <w:t>市住建局、市自然资源和规划局</w:t>
            </w:r>
          </w:p>
        </w:tc>
        <w:tc>
          <w:tcPr>
            <w:tcW w:w="2905" w:type="dxa"/>
            <w:noWrap w:val="0"/>
            <w:vAlign w:val="center"/>
          </w:tcPr>
          <w:p>
            <w:pPr>
              <w:jc w:val="center"/>
              <w:rPr>
                <w:color w:val="auto"/>
              </w:rPr>
            </w:pPr>
            <w:r>
              <w:rPr>
                <w:rFonts w:hint="eastAsia"/>
                <w:color w:val="auto"/>
                <w:lang w:val="en-US" w:eastAsia="zh-CN"/>
              </w:rPr>
              <w:t>市各有关部门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dxa"/>
            <w:noWrap w:val="0"/>
            <w:vAlign w:val="center"/>
          </w:tcPr>
          <w:p>
            <w:pPr>
              <w:jc w:val="center"/>
              <w:rPr>
                <w:rFonts w:hint="default" w:ascii="Times New Roman" w:hAnsi="Times New Roman" w:eastAsia="宋体" w:cs="Times New Roman"/>
                <w:color w:val="auto"/>
                <w:vertAlign w:val="baseline"/>
                <w:lang w:val="en-US" w:eastAsia="zh-CN"/>
              </w:rPr>
            </w:pPr>
            <w:r>
              <w:rPr>
                <w:rFonts w:hint="default" w:ascii="Times New Roman" w:hAnsi="Times New Roman" w:cs="Times New Roman"/>
                <w:color w:val="auto"/>
                <w:vertAlign w:val="baseline"/>
                <w:lang w:val="en-US" w:eastAsia="zh-CN"/>
              </w:rPr>
              <w:t>7</w:t>
            </w:r>
          </w:p>
        </w:tc>
        <w:tc>
          <w:tcPr>
            <w:tcW w:w="1952" w:type="dxa"/>
            <w:noWrap w:val="0"/>
            <w:vAlign w:val="center"/>
          </w:tcPr>
          <w:p>
            <w:pPr>
              <w:jc w:val="center"/>
              <w:rPr>
                <w:color w:val="auto"/>
              </w:rPr>
            </w:pPr>
            <w:r>
              <w:rPr>
                <w:rFonts w:hint="eastAsia"/>
                <w:color w:val="auto"/>
                <w:lang w:val="en-US" w:eastAsia="zh-CN"/>
              </w:rPr>
              <w:t>完善系统数据共享机制</w:t>
            </w:r>
          </w:p>
        </w:tc>
        <w:tc>
          <w:tcPr>
            <w:tcW w:w="4900"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color w:val="auto"/>
              </w:rPr>
            </w:pPr>
            <w:r>
              <w:rPr>
                <w:rFonts w:hint="eastAsia"/>
                <w:color w:val="auto"/>
                <w:lang w:val="en-US" w:eastAsia="zh-CN"/>
              </w:rPr>
              <w:t>进一步完善工改系统与投资、规划用地、生态环境、市政公用等系统的信息共享、协同应用机制，大力推进工程建设项目全流程数字化报建，加快推进电子签名、电子印章、电子证照、电子材料、电子档案在网上办理过程中的归集共享。</w:t>
            </w:r>
          </w:p>
        </w:tc>
        <w:tc>
          <w:tcPr>
            <w:tcW w:w="2050" w:type="dxa"/>
            <w:noWrap w:val="0"/>
            <w:vAlign w:val="center"/>
          </w:tcPr>
          <w:p>
            <w:pPr>
              <w:jc w:val="center"/>
              <w:rPr>
                <w:color w:val="auto"/>
              </w:rPr>
            </w:pPr>
            <w:r>
              <w:rPr>
                <w:rFonts w:hint="eastAsia"/>
                <w:color w:val="auto"/>
                <w:lang w:val="en-US" w:eastAsia="zh-CN"/>
              </w:rPr>
              <w:t>市住建局、市政务办</w:t>
            </w:r>
          </w:p>
        </w:tc>
        <w:tc>
          <w:tcPr>
            <w:tcW w:w="2905" w:type="dxa"/>
            <w:noWrap w:val="0"/>
            <w:vAlign w:val="center"/>
          </w:tcPr>
          <w:p>
            <w:pPr>
              <w:jc w:val="center"/>
              <w:rPr>
                <w:color w:val="auto"/>
              </w:rPr>
            </w:pPr>
            <w:r>
              <w:rPr>
                <w:rFonts w:hint="eastAsia"/>
                <w:color w:val="auto"/>
                <w:lang w:val="en-US" w:eastAsia="zh-CN"/>
              </w:rPr>
              <w:t>市发改委、市自然资源和规划局、市生态环境局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dxa"/>
            <w:noWrap w:val="0"/>
            <w:vAlign w:val="center"/>
          </w:tcPr>
          <w:p>
            <w:pPr>
              <w:jc w:val="cente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8</w:t>
            </w:r>
          </w:p>
        </w:tc>
        <w:tc>
          <w:tcPr>
            <w:tcW w:w="1952" w:type="dxa"/>
            <w:noWrap w:val="0"/>
            <w:vAlign w:val="center"/>
          </w:tcPr>
          <w:p>
            <w:pPr>
              <w:jc w:val="center"/>
              <w:rPr>
                <w:rFonts w:hint="eastAsia"/>
                <w:color w:val="auto"/>
                <w:lang w:val="en-US" w:eastAsia="zh-CN"/>
              </w:rPr>
            </w:pPr>
            <w:r>
              <w:rPr>
                <w:rFonts w:hint="eastAsia"/>
                <w:color w:val="auto"/>
                <w:lang w:val="en-US" w:eastAsia="zh-CN"/>
              </w:rPr>
              <w:t>大力推广网上中介超市应用</w:t>
            </w:r>
          </w:p>
        </w:tc>
        <w:tc>
          <w:tcPr>
            <w:tcW w:w="4900"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color w:val="auto"/>
                <w:lang w:val="en-US" w:eastAsia="zh-CN"/>
              </w:rPr>
            </w:pPr>
            <w:r>
              <w:rPr>
                <w:rFonts w:hint="eastAsia"/>
                <w:color w:val="auto"/>
                <w:lang w:val="en-US" w:eastAsia="zh-CN"/>
              </w:rPr>
              <w:t>建立标准规范的涉审中介服务事项清单，积极引导中介服务机构入驻、规范开展网上平台交易，强化中介服务机构监管等工作。推动财政性（国有）资金项目在中介超市选取中介服务机构，鼓励社会投资的项目业主通过中介超市自主选取中介机构。</w:t>
            </w:r>
          </w:p>
        </w:tc>
        <w:tc>
          <w:tcPr>
            <w:tcW w:w="2050" w:type="dxa"/>
            <w:noWrap w:val="0"/>
            <w:vAlign w:val="center"/>
          </w:tcPr>
          <w:p>
            <w:pPr>
              <w:jc w:val="center"/>
              <w:rPr>
                <w:rFonts w:hint="eastAsia"/>
                <w:color w:val="auto"/>
                <w:lang w:val="en-US" w:eastAsia="zh-CN"/>
              </w:rPr>
            </w:pPr>
            <w:r>
              <w:rPr>
                <w:rFonts w:hint="eastAsia"/>
                <w:color w:val="auto"/>
                <w:lang w:val="en-US" w:eastAsia="zh-CN"/>
              </w:rPr>
              <w:t>市政务办</w:t>
            </w:r>
          </w:p>
        </w:tc>
        <w:tc>
          <w:tcPr>
            <w:tcW w:w="2905" w:type="dxa"/>
            <w:noWrap w:val="0"/>
            <w:vAlign w:val="center"/>
          </w:tcPr>
          <w:p>
            <w:pPr>
              <w:jc w:val="center"/>
              <w:rPr>
                <w:rFonts w:hint="eastAsia"/>
                <w:color w:val="auto"/>
                <w:lang w:val="en-US" w:eastAsia="zh-CN"/>
              </w:rPr>
            </w:pPr>
            <w:r>
              <w:rPr>
                <w:rFonts w:hint="eastAsia"/>
                <w:color w:val="auto"/>
                <w:lang w:val="en-US" w:eastAsia="zh-CN"/>
              </w:rPr>
              <w:t>各工改成员单位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165" w:type="dxa"/>
            <w:noWrap w:val="0"/>
            <w:vAlign w:val="center"/>
          </w:tcPr>
          <w:p>
            <w:pPr>
              <w:jc w:val="cente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9</w:t>
            </w:r>
          </w:p>
        </w:tc>
        <w:tc>
          <w:tcPr>
            <w:tcW w:w="1952" w:type="dxa"/>
            <w:noWrap w:val="0"/>
            <w:vAlign w:val="center"/>
          </w:tcPr>
          <w:p>
            <w:pPr>
              <w:jc w:val="center"/>
              <w:rPr>
                <w:rFonts w:hint="eastAsia"/>
                <w:color w:val="auto"/>
                <w:lang w:val="en-US" w:eastAsia="zh-CN"/>
              </w:rPr>
            </w:pPr>
            <w:r>
              <w:rPr>
                <w:rFonts w:hint="eastAsia"/>
                <w:color w:val="auto"/>
                <w:lang w:val="en-US" w:eastAsia="zh-CN"/>
              </w:rPr>
              <w:t>规范审批服务行为</w:t>
            </w:r>
          </w:p>
        </w:tc>
        <w:tc>
          <w:tcPr>
            <w:tcW w:w="4900" w:type="dxa"/>
            <w:noWrap w:val="0"/>
            <w:vAlign w:val="top"/>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color w:val="auto"/>
                <w:lang w:val="en-US" w:eastAsia="zh-CN"/>
              </w:rPr>
            </w:pPr>
            <w:r>
              <w:rPr>
                <w:rFonts w:hint="eastAsia"/>
                <w:color w:val="auto"/>
                <w:lang w:val="en-US" w:eastAsia="zh-CN"/>
              </w:rPr>
              <w:t>严格按照公布的办理流程和实施规范开展审批，不得额外增加或变相增加办理环节、申请材料等。严格审批中技术审查、专家评审、现场勘验等环节管理，在实施规范中明确办理的具体流程和完成时限。持续整治“体外循环”和“隐性审批”问题，严禁申报前增加预审、指定机构事先审查、线下预审线上补录等行为。</w:t>
            </w:r>
          </w:p>
        </w:tc>
        <w:tc>
          <w:tcPr>
            <w:tcW w:w="2050" w:type="dxa"/>
            <w:noWrap w:val="0"/>
            <w:vAlign w:val="center"/>
          </w:tcPr>
          <w:p>
            <w:pPr>
              <w:jc w:val="center"/>
              <w:rPr>
                <w:rFonts w:hint="eastAsia"/>
                <w:color w:val="auto"/>
                <w:lang w:val="en-US" w:eastAsia="zh-CN"/>
              </w:rPr>
            </w:pPr>
            <w:r>
              <w:rPr>
                <w:rFonts w:hint="eastAsia"/>
                <w:color w:val="auto"/>
                <w:lang w:val="en-US" w:eastAsia="zh-CN"/>
              </w:rPr>
              <w:t>市工改办</w:t>
            </w:r>
          </w:p>
        </w:tc>
        <w:tc>
          <w:tcPr>
            <w:tcW w:w="2905" w:type="dxa"/>
            <w:noWrap w:val="0"/>
            <w:vAlign w:val="center"/>
          </w:tcPr>
          <w:p>
            <w:pPr>
              <w:jc w:val="center"/>
              <w:rPr>
                <w:rFonts w:hint="eastAsia" w:ascii="Calibri" w:hAnsi="Calibri" w:eastAsia="宋体" w:cs="Times New Roman"/>
                <w:color w:val="auto"/>
                <w:kern w:val="2"/>
                <w:sz w:val="21"/>
                <w:szCs w:val="24"/>
                <w:lang w:val="en-US" w:eastAsia="zh-CN" w:bidi="ar-SA"/>
              </w:rPr>
            </w:pPr>
            <w:r>
              <w:rPr>
                <w:rFonts w:hint="eastAsia"/>
                <w:color w:val="auto"/>
                <w:lang w:val="en-US" w:eastAsia="zh-CN"/>
              </w:rPr>
              <w:t>各工改成员单位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dxa"/>
            <w:noWrap w:val="0"/>
            <w:vAlign w:val="center"/>
          </w:tcPr>
          <w:p>
            <w:pPr>
              <w:jc w:val="cente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10</w:t>
            </w:r>
          </w:p>
        </w:tc>
        <w:tc>
          <w:tcPr>
            <w:tcW w:w="1952" w:type="dxa"/>
            <w:noWrap w:val="0"/>
            <w:vAlign w:val="center"/>
          </w:tcPr>
          <w:p>
            <w:pPr>
              <w:jc w:val="center"/>
              <w:rPr>
                <w:rFonts w:hint="eastAsia"/>
                <w:color w:val="auto"/>
                <w:lang w:val="en-US" w:eastAsia="zh-CN"/>
              </w:rPr>
            </w:pPr>
            <w:r>
              <w:rPr>
                <w:rFonts w:hint="eastAsia"/>
                <w:color w:val="auto"/>
                <w:lang w:val="en-US" w:eastAsia="zh-CN"/>
              </w:rPr>
              <w:t>推行工程建设项目智能帮办代办服务</w:t>
            </w:r>
          </w:p>
        </w:tc>
        <w:tc>
          <w:tcPr>
            <w:tcW w:w="4900" w:type="dxa"/>
            <w:noWrap w:val="0"/>
            <w:vAlign w:val="top"/>
          </w:tcPr>
          <w:p>
            <w:pPr>
              <w:rPr>
                <w:rFonts w:hint="eastAsia"/>
                <w:color w:val="auto"/>
                <w:lang w:val="en-US" w:eastAsia="zh-CN"/>
              </w:rPr>
            </w:pPr>
            <w:r>
              <w:rPr>
                <w:rFonts w:hint="eastAsia"/>
                <w:color w:val="auto"/>
                <w:lang w:val="en-US" w:eastAsia="zh-CN"/>
              </w:rPr>
              <w:t>推广线上智能引导辅助申报方式。设置智能引导式菜单，企业可根据项目特点和审批事项范围通过菜单点选办理，同时，系统可自动将企业联系方式和办理事项推送至帮代办人员，逐个项目确定帮代办“管家”，提供全生命周期服务，第一时间靠前服务。</w:t>
            </w:r>
          </w:p>
        </w:tc>
        <w:tc>
          <w:tcPr>
            <w:tcW w:w="2050" w:type="dxa"/>
            <w:noWrap w:val="0"/>
            <w:vAlign w:val="center"/>
          </w:tcPr>
          <w:p>
            <w:pPr>
              <w:jc w:val="center"/>
              <w:rPr>
                <w:rFonts w:hint="eastAsia"/>
                <w:color w:val="auto"/>
                <w:lang w:val="en-US" w:eastAsia="zh-CN"/>
              </w:rPr>
            </w:pPr>
            <w:r>
              <w:rPr>
                <w:rFonts w:hint="eastAsia"/>
                <w:color w:val="auto"/>
                <w:lang w:val="en-US" w:eastAsia="zh-CN"/>
              </w:rPr>
              <w:t>市住建局、市政务办</w:t>
            </w:r>
          </w:p>
        </w:tc>
        <w:tc>
          <w:tcPr>
            <w:tcW w:w="2905" w:type="dxa"/>
            <w:noWrap w:val="0"/>
            <w:vAlign w:val="center"/>
          </w:tcPr>
          <w:p>
            <w:pPr>
              <w:jc w:val="center"/>
              <w:rPr>
                <w:rFonts w:hint="eastAsia"/>
                <w:color w:val="auto"/>
                <w:lang w:val="en-US" w:eastAsia="zh-CN"/>
              </w:rPr>
            </w:pPr>
            <w:r>
              <w:rPr>
                <w:rFonts w:hint="eastAsia"/>
                <w:color w:val="auto"/>
                <w:lang w:val="en-US" w:eastAsia="zh-CN"/>
              </w:rPr>
              <w:t>市各有关部门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dxa"/>
            <w:noWrap w:val="0"/>
            <w:vAlign w:val="center"/>
          </w:tcPr>
          <w:p>
            <w:pPr>
              <w:jc w:val="cente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11</w:t>
            </w:r>
          </w:p>
        </w:tc>
        <w:tc>
          <w:tcPr>
            <w:tcW w:w="1952" w:type="dxa"/>
            <w:noWrap w:val="0"/>
            <w:vAlign w:val="center"/>
          </w:tcPr>
          <w:p>
            <w:pPr>
              <w:jc w:val="center"/>
              <w:rPr>
                <w:rFonts w:hint="eastAsia"/>
                <w:color w:val="auto"/>
                <w:lang w:val="en-US" w:eastAsia="zh-CN"/>
              </w:rPr>
            </w:pPr>
            <w:r>
              <w:rPr>
                <w:rFonts w:hint="eastAsia"/>
                <w:color w:val="auto"/>
                <w:lang w:val="en-US" w:eastAsia="zh-CN"/>
              </w:rPr>
              <w:t>加强审管联动</w:t>
            </w:r>
          </w:p>
        </w:tc>
        <w:tc>
          <w:tcPr>
            <w:tcW w:w="4900" w:type="dxa"/>
            <w:noWrap w:val="0"/>
            <w:vAlign w:val="top"/>
          </w:tcPr>
          <w:p>
            <w:pPr>
              <w:rPr>
                <w:rFonts w:hint="eastAsia"/>
                <w:lang w:val="en-US" w:eastAsia="zh-CN"/>
              </w:rPr>
            </w:pPr>
            <w:r>
              <w:rPr>
                <w:rFonts w:hint="default"/>
                <w:lang w:val="en-US" w:eastAsia="zh-CN"/>
              </w:rPr>
              <w:t>健全审管衔接机制，推动工改系统审批信息与省“市场监管信息平台”、市“综合查一次”平台监管信息</w:t>
            </w:r>
            <w:r>
              <w:rPr>
                <w:rFonts w:hint="eastAsia"/>
                <w:lang w:val="en-US" w:eastAsia="zh-CN"/>
              </w:rPr>
              <w:t>、市公共信用信息系统信用信息</w:t>
            </w:r>
            <w:r>
              <w:rPr>
                <w:rFonts w:hint="default"/>
                <w:lang w:val="en-US" w:eastAsia="zh-CN"/>
              </w:rPr>
              <w:t>实时共享。明确容缺受理和告知承诺审批事项工作规程和监管规则，在规定时间内对补正材料情况和履行告知承诺情况进行核查</w:t>
            </w:r>
            <w:r>
              <w:rPr>
                <w:rFonts w:hint="eastAsia"/>
                <w:lang w:val="en-US" w:eastAsia="zh-CN"/>
              </w:rPr>
              <w:t>，相关信用承诺及履诺信息依法记入公共信用信息系统信用档案</w:t>
            </w:r>
            <w:r>
              <w:rPr>
                <w:rFonts w:hint="default"/>
                <w:lang w:val="en-US" w:eastAsia="zh-CN"/>
              </w:rPr>
              <w:t>。</w:t>
            </w:r>
          </w:p>
        </w:tc>
        <w:tc>
          <w:tcPr>
            <w:tcW w:w="2050" w:type="dxa"/>
            <w:noWrap w:val="0"/>
            <w:vAlign w:val="center"/>
          </w:tcPr>
          <w:p>
            <w:pPr>
              <w:jc w:val="center"/>
              <w:rPr>
                <w:rFonts w:hint="eastAsia"/>
                <w:color w:val="auto"/>
                <w:lang w:val="en-US" w:eastAsia="zh-CN"/>
              </w:rPr>
            </w:pPr>
            <w:r>
              <w:rPr>
                <w:rFonts w:hint="eastAsia"/>
                <w:color w:val="auto"/>
                <w:lang w:val="en-US" w:eastAsia="zh-CN"/>
              </w:rPr>
              <w:t>市住建局、市政务办</w:t>
            </w:r>
          </w:p>
        </w:tc>
        <w:tc>
          <w:tcPr>
            <w:tcW w:w="2905" w:type="dxa"/>
            <w:noWrap w:val="0"/>
            <w:vAlign w:val="center"/>
          </w:tcPr>
          <w:p>
            <w:pPr>
              <w:jc w:val="center"/>
              <w:rPr>
                <w:rFonts w:hint="eastAsia"/>
                <w:color w:val="auto"/>
                <w:lang w:val="en-US" w:eastAsia="zh-CN"/>
              </w:rPr>
            </w:pPr>
            <w:r>
              <w:rPr>
                <w:rFonts w:hint="eastAsia"/>
                <w:color w:val="auto"/>
                <w:lang w:val="en-US" w:eastAsia="zh-CN"/>
              </w:rPr>
              <w:t>市信用办、市各有关部门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dxa"/>
            <w:noWrap w:val="0"/>
            <w:vAlign w:val="center"/>
          </w:tcPr>
          <w:p>
            <w:pPr>
              <w:jc w:val="cente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12</w:t>
            </w:r>
          </w:p>
        </w:tc>
        <w:tc>
          <w:tcPr>
            <w:tcW w:w="1952" w:type="dxa"/>
            <w:noWrap w:val="0"/>
            <w:vAlign w:val="center"/>
          </w:tcPr>
          <w:p>
            <w:pPr>
              <w:jc w:val="center"/>
              <w:rPr>
                <w:rFonts w:hint="eastAsia"/>
                <w:color w:val="auto"/>
                <w:lang w:val="en-US" w:eastAsia="zh-CN"/>
              </w:rPr>
            </w:pPr>
            <w:r>
              <w:rPr>
                <w:rFonts w:hint="eastAsia"/>
                <w:color w:val="auto"/>
                <w:lang w:val="en-US" w:eastAsia="zh-CN"/>
              </w:rPr>
              <w:t>大力推进数字化</w:t>
            </w:r>
          </w:p>
          <w:p>
            <w:pPr>
              <w:jc w:val="center"/>
              <w:rPr>
                <w:rFonts w:hint="eastAsia"/>
                <w:color w:val="auto"/>
                <w:lang w:val="en-US" w:eastAsia="zh-CN"/>
              </w:rPr>
            </w:pPr>
            <w:r>
              <w:rPr>
                <w:rFonts w:hint="eastAsia"/>
                <w:color w:val="auto"/>
                <w:lang w:val="en-US" w:eastAsia="zh-CN"/>
              </w:rPr>
              <w:t>监管</w:t>
            </w:r>
          </w:p>
        </w:tc>
        <w:tc>
          <w:tcPr>
            <w:tcW w:w="4900" w:type="dxa"/>
            <w:noWrap w:val="0"/>
            <w:vAlign w:val="top"/>
          </w:tcPr>
          <w:p>
            <w:pPr>
              <w:rPr>
                <w:rFonts w:hint="eastAsia"/>
                <w:color w:val="auto"/>
                <w:lang w:val="en-US" w:eastAsia="zh-CN"/>
              </w:rPr>
            </w:pPr>
            <w:r>
              <w:rPr>
                <w:rFonts w:hint="eastAsia"/>
                <w:color w:val="auto"/>
                <w:lang w:val="en-US" w:eastAsia="zh-CN"/>
              </w:rPr>
              <w:t>加快建立单体房屋建筑编码赋码用码机制，推动工程审批系统与建筑市场公共服务平台、质量安全监管平台、智慧工地、房屋安全管理等系统互联互通、协同应用，探索建立工程建设项目设计、施工、验收、运营维护全生命周期数字化监管机制。</w:t>
            </w:r>
          </w:p>
        </w:tc>
        <w:tc>
          <w:tcPr>
            <w:tcW w:w="2050" w:type="dxa"/>
            <w:noWrap w:val="0"/>
            <w:vAlign w:val="center"/>
          </w:tcPr>
          <w:p>
            <w:pPr>
              <w:jc w:val="center"/>
              <w:rPr>
                <w:rFonts w:hint="eastAsia"/>
                <w:color w:val="auto"/>
                <w:lang w:val="en-US" w:eastAsia="zh-CN"/>
              </w:rPr>
            </w:pPr>
            <w:r>
              <w:rPr>
                <w:rFonts w:hint="eastAsia"/>
                <w:color w:val="auto"/>
                <w:lang w:val="en-US" w:eastAsia="zh-CN"/>
              </w:rPr>
              <w:t>市住建局</w:t>
            </w:r>
          </w:p>
        </w:tc>
        <w:tc>
          <w:tcPr>
            <w:tcW w:w="2905" w:type="dxa"/>
            <w:noWrap w:val="0"/>
            <w:vAlign w:val="center"/>
          </w:tcPr>
          <w:p>
            <w:pPr>
              <w:jc w:val="center"/>
              <w:rPr>
                <w:rFonts w:hint="eastAsia"/>
                <w:color w:val="auto"/>
                <w:lang w:val="en-US" w:eastAsia="zh-CN"/>
              </w:rPr>
            </w:pPr>
            <w:r>
              <w:rPr>
                <w:rFonts w:hint="eastAsia"/>
                <w:color w:val="auto"/>
                <w:lang w:val="en-US" w:eastAsia="zh-CN"/>
              </w:rPr>
              <w:t>市各有关部门</w:t>
            </w:r>
          </w:p>
        </w:tc>
      </w:tr>
    </w:tbl>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pStyle w:val="4"/>
        <w:rPr>
          <w:rFonts w:hint="eastAsia" w:ascii="Times New Roman" w:hAnsi="Times New Roman" w:eastAsia="仿宋_GB2312" w:cs="仿宋"/>
          <w:sz w:val="32"/>
          <w:szCs w:val="32"/>
        </w:rPr>
      </w:pPr>
    </w:p>
    <w:p>
      <w:pPr>
        <w:bidi w:val="0"/>
        <w:jc w:val="left"/>
        <w:rPr>
          <w:rFonts w:hint="eastAsia"/>
        </w:rPr>
        <w:sectPr>
          <w:pgSz w:w="16838" w:h="11906" w:orient="landscape"/>
          <w:pgMar w:top="1406" w:right="1440" w:bottom="1406" w:left="1440" w:header="851" w:footer="992" w:gutter="0"/>
          <w:pgNumType w:fmt="decimal"/>
          <w:cols w:space="0" w:num="1"/>
          <w:rtlGutter w:val="0"/>
          <w:docGrid w:type="lines" w:linePitch="313" w:charSpace="0"/>
        </w:sectPr>
      </w:pPr>
    </w:p>
    <w:p>
      <w:pPr>
        <w:bidi w:val="0"/>
        <w:jc w:val="left"/>
        <w:rPr>
          <w:rFonts w:hint="eastAsia"/>
        </w:rPr>
      </w:pP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pStyle w:val="4"/>
        <w:rPr>
          <w:rFonts w:hint="eastAsia" w:ascii="Times New Roman" w:hAnsi="Times New Roman" w:eastAsia="仿宋_GB2312" w:cs="仿宋"/>
          <w:sz w:val="32"/>
          <w:szCs w:val="32"/>
        </w:rPr>
      </w:pPr>
      <w:r>
        <w:rPr>
          <w:sz w:val="32"/>
        </w:rPr>
        <mc:AlternateContent>
          <mc:Choice Requires="wps">
            <w:drawing>
              <wp:anchor distT="0" distB="0" distL="114300" distR="114300" simplePos="0" relativeHeight="251660288" behindDoc="0" locked="0" layoutInCell="1" allowOverlap="1">
                <wp:simplePos x="0" y="0"/>
                <wp:positionH relativeFrom="column">
                  <wp:posOffset>12700</wp:posOffset>
                </wp:positionH>
                <wp:positionV relativeFrom="paragraph">
                  <wp:posOffset>151130</wp:posOffset>
                </wp:positionV>
                <wp:extent cx="5801360" cy="635"/>
                <wp:effectExtent l="0" t="0" r="0" b="0"/>
                <wp:wrapNone/>
                <wp:docPr id="2" name="直接连接符 2"/>
                <wp:cNvGraphicFramePr/>
                <a:graphic xmlns:a="http://schemas.openxmlformats.org/drawingml/2006/main">
                  <a:graphicData uri="http://schemas.microsoft.com/office/word/2010/wordprocessingShape">
                    <wps:wsp>
                      <wps:cNvCnPr/>
                      <wps:spPr>
                        <a:xfrm>
                          <a:off x="896620" y="1272540"/>
                          <a:ext cx="5801360" cy="6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pt;margin-top:11.9pt;height:0.05pt;width:456.8pt;z-index:251660288;mso-width-relative:page;mso-height-relative:page;" filled="f" stroked="t" coordsize="21600,21600" o:gfxdata="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RxWlE1wAAAAcBAAAPAAAAAAAAAAEAIAAAACIAAABkcnMvZG93bnJldi54bWxQSwECFAAUAAAA&#10;CACHTuJAn3f7+u8BAAC/AwAADgAAAAAAAAABACAAAAAmAQAAZHJzL2Uyb0RvYy54bWxQSwUGAAAA&#10;AAYABgBZAQAAhwUAAAAA&#10;">
                <v:fill on="f" focussize="0,0"/>
                <v:stroke weight="1pt" color="#000000 [3213]" miterlimit="8" joinstyle="miter"/>
                <v:imagedata o:title=""/>
                <o:lock v:ext="edit" aspectratio="f"/>
              </v:line>
            </w:pict>
          </mc:Fallback>
        </mc:AlternateContent>
      </w:r>
    </w:p>
    <w:p>
      <w:pPr>
        <w:pStyle w:val="4"/>
        <w:ind w:firstLine="258" w:firstLineChars="100"/>
        <w:rPr>
          <w:rFonts w:hint="default" w:ascii="Times New Roman" w:hAnsi="Times New Roman" w:eastAsia="仿宋_GB2312" w:cs="仿宋"/>
          <w:spacing w:val="-11"/>
          <w:sz w:val="32"/>
          <w:szCs w:val="32"/>
          <w:lang w:val="en-US" w:eastAsia="zh-CN"/>
        </w:rPr>
      </w:pPr>
      <w:r>
        <w:rPr>
          <w:rFonts w:hint="eastAsia" w:ascii="Times New Roman" w:hAnsi="Times New Roman" w:eastAsia="仿宋_GB2312" w:cs="仿宋"/>
          <w:spacing w:val="-11"/>
          <w:sz w:val="28"/>
          <w:szCs w:val="28"/>
          <w:lang w:eastAsia="zh-CN"/>
        </w:rPr>
        <w:t>连云港市工程建设项目审批制度改革领导小组办公室</w:t>
      </w:r>
      <w:r>
        <w:rPr>
          <w:rFonts w:hint="eastAsia" w:ascii="Times New Roman" w:hAnsi="Times New Roman" w:eastAsia="仿宋_GB2312" w:cs="仿宋"/>
          <w:spacing w:val="-11"/>
          <w:sz w:val="28"/>
          <w:szCs w:val="28"/>
          <w:lang w:val="en-US" w:eastAsia="zh-CN"/>
        </w:rPr>
        <w:t xml:space="preserve">   2024年2月29日印发</w:t>
      </w:r>
    </w:p>
    <w:p>
      <w:pPr>
        <w:pStyle w:val="4"/>
        <w:rPr>
          <w:rFonts w:hint="eastAsia"/>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12700</wp:posOffset>
                </wp:positionH>
                <wp:positionV relativeFrom="paragraph">
                  <wp:posOffset>33020</wp:posOffset>
                </wp:positionV>
                <wp:extent cx="58356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835650" cy="6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pt;margin-top:2.6pt;height:0.05pt;width:459.5pt;z-index:251661312;mso-width-relative:page;mso-height-relative:page;" filled="f" stroked="t" coordsize="21600,21600" o:gfxdata="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5r/J41QAAAAUB&#10;AAAPAAAAAAAAAAEAIAAAACIAAABkcnMvZG93bnJldi54bWxQSwECFAAUAAAACACHTuJAOYrEiOUB&#10;AAC0AwAADgAAAAAAAAABACAAAAAkAQAAZHJzL2Uyb0RvYy54bWxQSwUGAAAAAAYABgBZAQAAewUA&#10;AAAA&#10;">
                <v:fill on="f" focussize="0,0"/>
                <v:stroke weight="1pt" color="#000000 [3213]" miterlimit="8" joinstyle="miter"/>
                <v:imagedata o:title=""/>
                <o:lock v:ext="edit" aspectratio="f"/>
              </v:line>
            </w:pict>
          </mc:Fallback>
        </mc:AlternateContent>
      </w:r>
    </w:p>
    <w:sectPr>
      <w:pgSz w:w="11906" w:h="16838"/>
      <w:pgMar w:top="1440" w:right="1406" w:bottom="1440" w:left="1406" w:header="851" w:footer="992"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-38735</wp:posOffset>
              </wp:positionV>
              <wp:extent cx="656590" cy="372745"/>
              <wp:effectExtent l="0" t="0" r="0" b="0"/>
              <wp:wrapNone/>
              <wp:docPr id="1" name="文本框 2"/>
              <wp:cNvGraphicFramePr/>
              <a:graphic xmlns:a="http://schemas.openxmlformats.org/drawingml/2006/main">
                <a:graphicData uri="http://schemas.microsoft.com/office/word/2010/wordprocessingShape">
                  <wps:wsp>
                    <wps:cNvSpPr txBox="1"/>
                    <wps:spPr>
                      <a:xfrm>
                        <a:off x="0" y="0"/>
                        <a:ext cx="656590" cy="372745"/>
                      </a:xfrm>
                      <a:prstGeom prst="rect">
                        <a:avLst/>
                      </a:prstGeom>
                      <a:noFill/>
                      <a:ln>
                        <a:noFill/>
                      </a:ln>
                    </wps:spPr>
                    <wps:txbx>
                      <w:txbxContent>
                        <w:p>
                          <w:pPr>
                            <w:pStyle w:val="4"/>
                            <w:jc w:val="center"/>
                            <w:rPr>
                              <w:rStyle w:val="11"/>
                              <w:rFonts w:ascii="Times New Roman" w:hAnsi="Times New Roman" w:eastAsia="仿宋_GB2312" w:cs="Times New Roman"/>
                              <w:sz w:val="24"/>
                              <w:szCs w:val="24"/>
                            </w:rPr>
                          </w:pPr>
                          <w:r>
                            <w:rPr>
                              <w:rStyle w:val="11"/>
                              <w:rFonts w:ascii="Times New Roman" w:hAnsi="Times New Roman" w:eastAsia="仿宋_GB2312" w:cs="Times New Roman"/>
                              <w:sz w:val="24"/>
                              <w:szCs w:val="24"/>
                            </w:rPr>
                            <w:t xml:space="preserve">— </w:t>
                          </w:r>
                          <w:r>
                            <w:rPr>
                              <w:rStyle w:val="11"/>
                              <w:rFonts w:ascii="Times New Roman" w:hAnsi="Times New Roman" w:eastAsia="仿宋_GB2312" w:cs="Times New Roman"/>
                              <w:sz w:val="24"/>
                              <w:szCs w:val="24"/>
                            </w:rPr>
                            <w:fldChar w:fldCharType="begin"/>
                          </w:r>
                          <w:r>
                            <w:rPr>
                              <w:rStyle w:val="11"/>
                              <w:rFonts w:ascii="Times New Roman" w:hAnsi="Times New Roman" w:eastAsia="仿宋_GB2312" w:cs="Times New Roman"/>
                              <w:sz w:val="24"/>
                              <w:szCs w:val="24"/>
                            </w:rPr>
                            <w:instrText xml:space="preserve"> PAGE  \* MERGEFORMAT </w:instrText>
                          </w:r>
                          <w:r>
                            <w:rPr>
                              <w:rStyle w:val="11"/>
                              <w:rFonts w:ascii="Times New Roman" w:hAnsi="Times New Roman" w:eastAsia="仿宋_GB2312" w:cs="Times New Roman"/>
                              <w:sz w:val="24"/>
                              <w:szCs w:val="24"/>
                            </w:rPr>
                            <w:fldChar w:fldCharType="separate"/>
                          </w:r>
                          <w:r>
                            <w:rPr>
                              <w:rStyle w:val="11"/>
                              <w:rFonts w:ascii="Times New Roman" w:hAnsi="Times New Roman" w:eastAsia="仿宋_GB2312" w:cs="Times New Roman"/>
                              <w:sz w:val="24"/>
                              <w:szCs w:val="24"/>
                            </w:rPr>
                            <w:t>1</w:t>
                          </w:r>
                          <w:r>
                            <w:rPr>
                              <w:rStyle w:val="11"/>
                              <w:rFonts w:ascii="Times New Roman" w:hAnsi="Times New Roman" w:eastAsia="仿宋_GB2312" w:cs="Times New Roman"/>
                              <w:sz w:val="24"/>
                              <w:szCs w:val="24"/>
                            </w:rPr>
                            <w:fldChar w:fldCharType="end"/>
                          </w:r>
                          <w:r>
                            <w:rPr>
                              <w:rStyle w:val="11"/>
                              <w:rFonts w:ascii="Times New Roman" w:hAnsi="Times New Roman" w:eastAsia="仿宋_GB2312" w:cs="Times New Roman"/>
                              <w:sz w:val="24"/>
                              <w:szCs w:val="24"/>
                            </w:rPr>
                            <w:t xml:space="preserve"> —</w:t>
                          </w:r>
                        </w:p>
                      </w:txbxContent>
                    </wps:txbx>
                    <wps:bodyPr vert="horz" lIns="0" tIns="0" rIns="0" bIns="0" anchor="t" anchorCtr="0" upright="1"/>
                  </wps:wsp>
                </a:graphicData>
              </a:graphic>
            </wp:anchor>
          </w:drawing>
        </mc:Choice>
        <mc:Fallback>
          <w:pict>
            <v:shape id="文本框 2" o:spid="_x0000_s1026" o:spt="202" type="#_x0000_t202" style="position:absolute;left:0pt;margin-top:-3.05pt;height:29.35pt;width:51.7pt;mso-position-horizontal:outside;mso-position-horizontal-relative:margin;z-index:251659264;mso-width-relative:page;mso-height-relative:page;" filled="f" stroked="f" coordsize="21600,21600" o:gfxdata="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3a6ejVAAAABgEAAA8AAAAAAAAAAQAgAAAAIgAAAGRy&#10;cy9kb3ducmV2LnhtbFBLAQIUABQAAAAIAIdO4kAPm3kHzwEAAJYDAAAOAAAAAAAAAAEAIAAAACQB&#10;AABkcnMvZTJvRG9jLnhtbFBLBQYAAAAABgAGAFkBAABlBQAAAAA=&#10;">
              <v:fill on="f" focussize="0,0"/>
              <v:stroke on="f"/>
              <v:imagedata o:title=""/>
              <o:lock v:ext="edit" aspectratio="f"/>
              <v:textbox inset="0mm,0mm,0mm,0mm">
                <w:txbxContent>
                  <w:p>
                    <w:pPr>
                      <w:pStyle w:val="4"/>
                      <w:jc w:val="center"/>
                      <w:rPr>
                        <w:rStyle w:val="11"/>
                        <w:rFonts w:ascii="Times New Roman" w:hAnsi="Times New Roman" w:eastAsia="仿宋_GB2312" w:cs="Times New Roman"/>
                        <w:sz w:val="24"/>
                        <w:szCs w:val="24"/>
                      </w:rPr>
                    </w:pPr>
                    <w:r>
                      <w:rPr>
                        <w:rStyle w:val="11"/>
                        <w:rFonts w:ascii="Times New Roman" w:hAnsi="Times New Roman" w:eastAsia="仿宋_GB2312" w:cs="Times New Roman"/>
                        <w:sz w:val="24"/>
                        <w:szCs w:val="24"/>
                      </w:rPr>
                      <w:t xml:space="preserve">— </w:t>
                    </w:r>
                    <w:r>
                      <w:rPr>
                        <w:rStyle w:val="11"/>
                        <w:rFonts w:ascii="Times New Roman" w:hAnsi="Times New Roman" w:eastAsia="仿宋_GB2312" w:cs="Times New Roman"/>
                        <w:sz w:val="24"/>
                        <w:szCs w:val="24"/>
                      </w:rPr>
                      <w:fldChar w:fldCharType="begin"/>
                    </w:r>
                    <w:r>
                      <w:rPr>
                        <w:rStyle w:val="11"/>
                        <w:rFonts w:ascii="Times New Roman" w:hAnsi="Times New Roman" w:eastAsia="仿宋_GB2312" w:cs="Times New Roman"/>
                        <w:sz w:val="24"/>
                        <w:szCs w:val="24"/>
                      </w:rPr>
                      <w:instrText xml:space="preserve"> PAGE  \* MERGEFORMAT </w:instrText>
                    </w:r>
                    <w:r>
                      <w:rPr>
                        <w:rStyle w:val="11"/>
                        <w:rFonts w:ascii="Times New Roman" w:hAnsi="Times New Roman" w:eastAsia="仿宋_GB2312" w:cs="Times New Roman"/>
                        <w:sz w:val="24"/>
                        <w:szCs w:val="24"/>
                      </w:rPr>
                      <w:fldChar w:fldCharType="separate"/>
                    </w:r>
                    <w:r>
                      <w:rPr>
                        <w:rStyle w:val="11"/>
                        <w:rFonts w:ascii="Times New Roman" w:hAnsi="Times New Roman" w:eastAsia="仿宋_GB2312" w:cs="Times New Roman"/>
                        <w:sz w:val="24"/>
                        <w:szCs w:val="24"/>
                      </w:rPr>
                      <w:t>1</w:t>
                    </w:r>
                    <w:r>
                      <w:rPr>
                        <w:rStyle w:val="11"/>
                        <w:rFonts w:ascii="Times New Roman" w:hAnsi="Times New Roman" w:eastAsia="仿宋_GB2312" w:cs="Times New Roman"/>
                        <w:sz w:val="24"/>
                        <w:szCs w:val="24"/>
                      </w:rPr>
                      <w:fldChar w:fldCharType="end"/>
                    </w:r>
                    <w:r>
                      <w:rPr>
                        <w:rStyle w:val="11"/>
                        <w:rFonts w:ascii="Times New Roman" w:hAnsi="Times New Roman" w:eastAsia="仿宋_GB2312" w:cs="Times New Roman"/>
                        <w:sz w:val="24"/>
                        <w:szCs w:val="24"/>
                      </w:rPr>
                      <w:t xml:space="preserve"> —</w:t>
                    </w:r>
                  </w:p>
                </w:txbxContent>
              </v:textbox>
            </v:shape>
          </w:pict>
        </mc:Fallback>
      </mc:AlternateContent>
    </w:r>
    <w:r>
      <w:rPr>
        <w:rFonts w:hint="eastAsia"/>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jOTIxMTBkNDhkMWZhNWZlN2M3YzE0NTc0ODhmMGYifQ=="/>
  </w:docVars>
  <w:rsids>
    <w:rsidRoot w:val="1A4B4193"/>
    <w:rsid w:val="000F759F"/>
    <w:rsid w:val="00494C81"/>
    <w:rsid w:val="00AE7D41"/>
    <w:rsid w:val="00CA51D1"/>
    <w:rsid w:val="0DF626F7"/>
    <w:rsid w:val="0E31552A"/>
    <w:rsid w:val="193E1330"/>
    <w:rsid w:val="1A4B4193"/>
    <w:rsid w:val="1D5E58C0"/>
    <w:rsid w:val="24884326"/>
    <w:rsid w:val="26662B9E"/>
    <w:rsid w:val="2CAD43DE"/>
    <w:rsid w:val="2E760D4F"/>
    <w:rsid w:val="37AF3ED6"/>
    <w:rsid w:val="3BD846EE"/>
    <w:rsid w:val="3E741363"/>
    <w:rsid w:val="3F5226D2"/>
    <w:rsid w:val="41FA3BA1"/>
    <w:rsid w:val="574001AD"/>
    <w:rsid w:val="5BCB317A"/>
    <w:rsid w:val="5ECD445E"/>
    <w:rsid w:val="5FBE7EDB"/>
    <w:rsid w:val="62177BD1"/>
    <w:rsid w:val="695174AC"/>
    <w:rsid w:val="6BA50652"/>
    <w:rsid w:val="6E4B6C92"/>
    <w:rsid w:val="77F6215B"/>
    <w:rsid w:val="7AA00418"/>
    <w:rsid w:val="7DAA3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table of authorities"/>
    <w:basedOn w:val="1"/>
    <w:next w:val="1"/>
    <w:qFormat/>
    <w:uiPriority w:val="99"/>
    <w:pPr>
      <w:ind w:left="420" w:leftChars="200"/>
    </w:pPr>
  </w:style>
  <w:style w:type="paragraph" w:styleId="4">
    <w:name w:val="footer"/>
    <w:basedOn w:val="1"/>
    <w:autoRedefine/>
    <w:qFormat/>
    <w:uiPriority w:val="0"/>
    <w:pPr>
      <w:tabs>
        <w:tab w:val="center" w:pos="4153"/>
        <w:tab w:val="right" w:pos="8306"/>
      </w:tabs>
      <w:snapToGrid w:val="0"/>
    </w:pPr>
    <w:rPr>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able of figures"/>
    <w:basedOn w:val="1"/>
    <w:next w:val="1"/>
    <w:autoRedefine/>
    <w:qFormat/>
    <w:uiPriority w:val="0"/>
    <w:pPr>
      <w:ind w:left="400" w:leftChars="200" w:hanging="200" w:hangingChars="200"/>
    </w:p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autoRedefine/>
    <w:qFormat/>
    <w:uiPriority w:val="0"/>
  </w:style>
  <w:style w:type="paragraph" w:customStyle="1" w:styleId="12">
    <w:name w:val="Body text|1"/>
    <w:basedOn w:val="1"/>
    <w:autoRedefine/>
    <w:qFormat/>
    <w:uiPriority w:val="0"/>
    <w:pPr>
      <w:autoSpaceDE w:val="0"/>
      <w:autoSpaceDN w:val="0"/>
      <w:spacing w:line="401" w:lineRule="auto"/>
      <w:ind w:firstLine="400"/>
    </w:pPr>
    <w:rPr>
      <w:rFonts w:ascii="宋体" w:hAnsi="宋体" w:cs="宋体"/>
      <w:sz w:val="30"/>
      <w:szCs w:val="30"/>
      <w:lang w:val="zh-TW" w:eastAsia="zh-TW" w:bidi="zh-TW"/>
    </w:rPr>
  </w:style>
  <w:style w:type="paragraph" w:styleId="13">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2220</Words>
  <Characters>2261</Characters>
  <Lines>2</Lines>
  <Paragraphs>5</Paragraphs>
  <TotalTime>11</TotalTime>
  <ScaleCrop>false</ScaleCrop>
  <LinksUpToDate>false</LinksUpToDate>
  <CharactersWithSpaces>2426</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2023-03-20T03:04:00Z</dcterms:created>
  <dc:creator>seiei</dc:creator>
  <cp:lastModifiedBy>seiei</cp:lastModifiedBy>
  <cp:lastPrinted>2023-03-28T09:24:00Z</cp:lastPrinted>
  <dcterms:modified xsi:type="dcterms:W3CDTF">2024-03-01T02:19:41Z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2B4F33FEDA1446DBBD8C5C50C93F72FD_13</vt:lpwstr>
  </property>
</Properties>
</file>