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B52" w:rsidRDefault="00E65B52">
      <w:pPr>
        <w:ind w:firstLineChars="0" w:firstLine="0"/>
        <w:jc w:val="center"/>
        <w:rPr>
          <w:rFonts w:ascii="宋体" w:hAnsi="宋体" w:cs="宋体"/>
          <w:sz w:val="52"/>
          <w:szCs w:val="52"/>
        </w:rPr>
      </w:pPr>
    </w:p>
    <w:p w:rsidR="00E65B52" w:rsidRDefault="00E65B52">
      <w:pPr>
        <w:ind w:firstLineChars="0" w:firstLine="0"/>
        <w:jc w:val="center"/>
        <w:rPr>
          <w:rFonts w:ascii="宋体" w:hAnsi="宋体" w:cs="宋体"/>
          <w:sz w:val="52"/>
          <w:szCs w:val="52"/>
        </w:rPr>
      </w:pPr>
    </w:p>
    <w:p w:rsidR="00E65B52" w:rsidRDefault="00E65B52">
      <w:pPr>
        <w:ind w:firstLineChars="0" w:firstLine="0"/>
        <w:jc w:val="center"/>
        <w:rPr>
          <w:rFonts w:ascii="宋体" w:hAnsi="宋体" w:cs="宋体"/>
          <w:sz w:val="52"/>
          <w:szCs w:val="52"/>
        </w:rPr>
      </w:pPr>
    </w:p>
    <w:p w:rsidR="00E65B52" w:rsidRDefault="00D033EA">
      <w:pPr>
        <w:ind w:firstLineChars="0" w:firstLine="0"/>
        <w:jc w:val="center"/>
        <w:rPr>
          <w:rFonts w:ascii="宋体" w:hAnsi="宋体" w:cs="宋体"/>
          <w:sz w:val="52"/>
          <w:szCs w:val="52"/>
        </w:rPr>
      </w:pPr>
      <w:r>
        <w:rPr>
          <w:rFonts w:ascii="方正小标宋_GBK" w:eastAsia="方正小标宋_GBK" w:hAnsi="宋体" w:cs="宋体" w:hint="eastAsia"/>
          <w:sz w:val="52"/>
          <w:szCs w:val="52"/>
        </w:rPr>
        <w:t>连云港市住房和城乡建设局</w:t>
      </w:r>
    </w:p>
    <w:p w:rsidR="00E65B52" w:rsidRDefault="00D033EA">
      <w:pPr>
        <w:ind w:firstLineChars="0" w:firstLine="0"/>
        <w:jc w:val="center"/>
        <w:rPr>
          <w:rFonts w:ascii="方正小标宋_GBK" w:eastAsia="方正小标宋_GBK" w:hAnsi="宋体" w:cs="宋体"/>
          <w:sz w:val="52"/>
          <w:szCs w:val="52"/>
        </w:rPr>
      </w:pPr>
      <w:r>
        <w:rPr>
          <w:rFonts w:ascii="方正小标宋_GBK" w:eastAsia="方正小标宋_GBK" w:hAnsi="宋体" w:cs="宋体" w:hint="eastAsia"/>
          <w:sz w:val="52"/>
          <w:szCs w:val="52"/>
        </w:rPr>
        <w:t>整体绩效评价报告</w:t>
      </w:r>
    </w:p>
    <w:p w:rsidR="00E65B52" w:rsidRDefault="00E65B52">
      <w:pPr>
        <w:ind w:firstLineChars="0" w:firstLine="0"/>
        <w:jc w:val="center"/>
        <w:rPr>
          <w:rFonts w:ascii="宋体" w:hAnsi="宋体" w:cs="宋体"/>
          <w:sz w:val="52"/>
          <w:szCs w:val="52"/>
        </w:rPr>
      </w:pPr>
    </w:p>
    <w:p w:rsidR="00E65B52" w:rsidRDefault="00E65B52">
      <w:pPr>
        <w:ind w:firstLineChars="0" w:firstLine="0"/>
        <w:jc w:val="center"/>
        <w:rPr>
          <w:rFonts w:ascii="宋体" w:hAnsi="宋体" w:cs="宋体"/>
          <w:sz w:val="52"/>
          <w:szCs w:val="52"/>
        </w:rPr>
      </w:pPr>
    </w:p>
    <w:p w:rsidR="00E65B52" w:rsidRDefault="00E65B52">
      <w:pPr>
        <w:ind w:firstLine="1040"/>
        <w:jc w:val="center"/>
        <w:rPr>
          <w:rFonts w:ascii="宋体" w:hAnsi="宋体" w:cs="宋体"/>
          <w:sz w:val="52"/>
          <w:szCs w:val="52"/>
        </w:rPr>
      </w:pPr>
    </w:p>
    <w:p w:rsidR="00E65B52" w:rsidRDefault="00E65B52">
      <w:pPr>
        <w:ind w:firstLine="1040"/>
        <w:jc w:val="center"/>
        <w:rPr>
          <w:rFonts w:ascii="宋体" w:hAnsi="宋体" w:cs="宋体"/>
          <w:sz w:val="52"/>
          <w:szCs w:val="52"/>
        </w:rPr>
      </w:pPr>
    </w:p>
    <w:p w:rsidR="00E65B52" w:rsidRDefault="00E65B52">
      <w:pPr>
        <w:ind w:firstLine="1040"/>
        <w:rPr>
          <w:rFonts w:ascii="宋体" w:hAnsi="宋体" w:cs="宋体"/>
          <w:sz w:val="52"/>
          <w:szCs w:val="52"/>
        </w:rPr>
      </w:pPr>
    </w:p>
    <w:p w:rsidR="00E65B52" w:rsidRDefault="00E65B52">
      <w:pPr>
        <w:ind w:firstLine="1040"/>
        <w:rPr>
          <w:rFonts w:ascii="宋体" w:hAnsi="宋体" w:cs="宋体"/>
          <w:sz w:val="52"/>
          <w:szCs w:val="52"/>
        </w:rPr>
      </w:pPr>
    </w:p>
    <w:p w:rsidR="00E65B52" w:rsidRDefault="00E65B52">
      <w:pPr>
        <w:ind w:firstLine="1040"/>
        <w:rPr>
          <w:rFonts w:ascii="宋体" w:hAnsi="宋体" w:cs="宋体"/>
          <w:sz w:val="52"/>
          <w:szCs w:val="52"/>
        </w:rPr>
      </w:pPr>
    </w:p>
    <w:p w:rsidR="00E65B52" w:rsidRDefault="00D033EA">
      <w:pPr>
        <w:ind w:firstLineChars="0" w:firstLine="0"/>
        <w:jc w:val="right"/>
        <w:rPr>
          <w:szCs w:val="28"/>
        </w:rPr>
      </w:pPr>
      <w:r>
        <w:rPr>
          <w:rFonts w:hint="eastAsia"/>
          <w:szCs w:val="28"/>
        </w:rPr>
        <w:t>评价单位：连云港市住房和城乡建设局</w:t>
      </w:r>
    </w:p>
    <w:p w:rsidR="00E65B52" w:rsidRDefault="00D033EA">
      <w:pPr>
        <w:ind w:firstLineChars="0" w:firstLine="0"/>
        <w:jc w:val="right"/>
      </w:pPr>
      <w:r>
        <w:rPr>
          <w:rFonts w:hint="eastAsia"/>
          <w:szCs w:val="28"/>
        </w:rPr>
        <w:t>报告时间：二零二二年九月</w:t>
      </w:r>
    </w:p>
    <w:p w:rsidR="00E65B52" w:rsidRDefault="00E65B52">
      <w:pPr>
        <w:ind w:firstLine="560"/>
        <w:jc w:val="right"/>
      </w:pPr>
    </w:p>
    <w:p w:rsidR="00E65B52" w:rsidRDefault="00E65B52" w:rsidP="00273632">
      <w:pPr>
        <w:ind w:right="420" w:firstLine="560"/>
        <w:jc w:val="right"/>
        <w:sectPr w:rsidR="00E65B5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start="1"/>
          <w:cols w:space="425"/>
          <w:docGrid w:type="lines" w:linePitch="312"/>
        </w:sectPr>
      </w:pPr>
    </w:p>
    <w:p w:rsidR="00497627" w:rsidRDefault="001465FA" w:rsidP="00497627">
      <w:pPr>
        <w:pStyle w:val="p0"/>
        <w:spacing w:before="0" w:beforeAutospacing="0" w:after="0" w:afterAutospacing="0" w:line="360" w:lineRule="auto"/>
        <w:ind w:firstLine="640"/>
        <w:jc w:val="both"/>
        <w:rPr>
          <w:rFonts w:cs="仿宋"/>
          <w:color w:val="auto"/>
          <w:sz w:val="32"/>
          <w:szCs w:val="32"/>
        </w:rPr>
      </w:pPr>
      <w:r>
        <w:rPr>
          <w:rFonts w:hint="eastAsia"/>
          <w:b/>
          <w:bCs/>
          <w:sz w:val="44"/>
          <w:szCs w:val="44"/>
        </w:rPr>
        <w:lastRenderedPageBreak/>
        <w:t>绩效评价小组</w:t>
      </w:r>
    </w:p>
    <w:p w:rsidR="00497627" w:rsidRDefault="00497627" w:rsidP="00497627">
      <w:pPr>
        <w:pStyle w:val="p0"/>
        <w:spacing w:before="0" w:beforeAutospacing="0" w:after="0" w:afterAutospacing="0" w:line="360" w:lineRule="auto"/>
        <w:ind w:firstLine="640"/>
        <w:jc w:val="both"/>
        <w:rPr>
          <w:rFonts w:cs="仿宋"/>
          <w:color w:val="auto"/>
          <w:sz w:val="32"/>
          <w:szCs w:val="32"/>
        </w:rPr>
      </w:pPr>
    </w:p>
    <w:p w:rsidR="00497627" w:rsidRPr="000F0E9B" w:rsidRDefault="00497627" w:rsidP="00497627">
      <w:pPr>
        <w:pStyle w:val="p0"/>
        <w:spacing w:before="0" w:beforeAutospacing="0" w:after="0" w:afterAutospacing="0" w:line="360" w:lineRule="auto"/>
        <w:ind w:firstLine="640"/>
        <w:rPr>
          <w:rFonts w:cs="仿宋"/>
          <w:color w:val="auto"/>
          <w:sz w:val="32"/>
          <w:szCs w:val="32"/>
        </w:rPr>
      </w:pPr>
      <w:r w:rsidRPr="000F0E9B">
        <w:rPr>
          <w:rFonts w:cs="仿宋" w:hint="eastAsia"/>
          <w:color w:val="auto"/>
          <w:sz w:val="32"/>
          <w:szCs w:val="32"/>
        </w:rPr>
        <w:t>组  长：</w:t>
      </w:r>
      <w:r>
        <w:rPr>
          <w:rFonts w:hint="eastAsia"/>
          <w:color w:val="auto"/>
          <w:sz w:val="32"/>
          <w:szCs w:val="32"/>
        </w:rPr>
        <w:t>王友君</w:t>
      </w:r>
    </w:p>
    <w:p w:rsidR="00497627" w:rsidRPr="00497627" w:rsidRDefault="00497627" w:rsidP="00497627">
      <w:pPr>
        <w:pStyle w:val="p0"/>
        <w:spacing w:before="0" w:beforeAutospacing="0" w:after="0" w:afterAutospacing="0" w:line="360" w:lineRule="auto"/>
        <w:jc w:val="both"/>
        <w:rPr>
          <w:rFonts w:cs="仿宋"/>
          <w:color w:val="auto"/>
          <w:sz w:val="32"/>
          <w:szCs w:val="32"/>
        </w:rPr>
      </w:pPr>
    </w:p>
    <w:p w:rsidR="00497627" w:rsidRPr="000F0E9B" w:rsidRDefault="00497627" w:rsidP="00497627">
      <w:pPr>
        <w:pStyle w:val="p0"/>
        <w:spacing w:before="0" w:beforeAutospacing="0" w:after="0" w:afterAutospacing="0" w:line="360" w:lineRule="auto"/>
        <w:ind w:firstLineChars="200" w:firstLine="640"/>
        <w:jc w:val="both"/>
        <w:rPr>
          <w:color w:val="auto"/>
          <w:sz w:val="32"/>
          <w:szCs w:val="32"/>
        </w:rPr>
      </w:pPr>
      <w:r w:rsidRPr="000F0E9B">
        <w:rPr>
          <w:rFonts w:hint="eastAsia"/>
          <w:color w:val="auto"/>
          <w:sz w:val="32"/>
          <w:szCs w:val="32"/>
        </w:rPr>
        <w:t>副组长：</w:t>
      </w:r>
      <w:r>
        <w:rPr>
          <w:rFonts w:hint="eastAsia"/>
          <w:color w:val="auto"/>
          <w:sz w:val="32"/>
          <w:szCs w:val="32"/>
        </w:rPr>
        <w:t>冯龙</w:t>
      </w:r>
    </w:p>
    <w:p w:rsidR="00497627" w:rsidRPr="000F0E9B" w:rsidRDefault="00497627" w:rsidP="00497627">
      <w:pPr>
        <w:pStyle w:val="p0"/>
        <w:spacing w:before="0" w:beforeAutospacing="0" w:after="0" w:afterAutospacing="0" w:line="360" w:lineRule="auto"/>
        <w:jc w:val="both"/>
        <w:rPr>
          <w:rFonts w:cs="仿宋"/>
          <w:color w:val="auto"/>
          <w:sz w:val="32"/>
          <w:szCs w:val="32"/>
        </w:rPr>
      </w:pPr>
    </w:p>
    <w:p w:rsidR="00497627" w:rsidRPr="000F0E9B" w:rsidRDefault="00497627" w:rsidP="00497627">
      <w:pPr>
        <w:ind w:leftChars="228" w:left="1598" w:hangingChars="300" w:hanging="960"/>
        <w:jc w:val="left"/>
        <w:rPr>
          <w:sz w:val="32"/>
          <w:szCs w:val="32"/>
        </w:rPr>
      </w:pPr>
      <w:r w:rsidRPr="000F0E9B">
        <w:rPr>
          <w:rFonts w:ascii="宋体" w:hAnsi="宋体" w:cs="仿宋" w:hint="eastAsia"/>
          <w:sz w:val="32"/>
          <w:szCs w:val="32"/>
        </w:rPr>
        <w:t>小组成员：</w:t>
      </w:r>
      <w:r>
        <w:rPr>
          <w:rFonts w:hint="eastAsia"/>
          <w:sz w:val="32"/>
          <w:szCs w:val="32"/>
        </w:rPr>
        <w:t>伏广全、韩宇、王军</w:t>
      </w:r>
    </w:p>
    <w:p w:rsidR="00E65B52" w:rsidRPr="00497627" w:rsidRDefault="00E65B52" w:rsidP="00273632">
      <w:pPr>
        <w:ind w:firstLineChars="0" w:firstLine="0"/>
        <w:rPr>
          <w:rFonts w:ascii="宋体" w:hAnsi="宋体"/>
          <w:sz w:val="52"/>
          <w:szCs w:val="52"/>
        </w:rPr>
        <w:sectPr w:rsidR="00E65B52" w:rsidRPr="00497627" w:rsidSect="00273632">
          <w:footerReference w:type="default" r:id="rId13"/>
          <w:pgSz w:w="11906" w:h="16838"/>
          <w:pgMar w:top="1440" w:right="1797" w:bottom="1440" w:left="1797" w:header="851" w:footer="992" w:gutter="0"/>
          <w:cols w:space="425"/>
          <w:docGrid w:type="lines" w:linePitch="312"/>
        </w:sectPr>
      </w:pPr>
    </w:p>
    <w:sdt>
      <w:sdtPr>
        <w:rPr>
          <w:rFonts w:ascii="宋体" w:hAnsi="宋体"/>
          <w:sz w:val="52"/>
          <w:szCs w:val="52"/>
        </w:rPr>
        <w:id w:val="147459091"/>
        <w:docPartObj>
          <w:docPartGallery w:val="Table of Contents"/>
          <w:docPartUnique/>
        </w:docPartObj>
      </w:sdtPr>
      <w:sdtEndPr>
        <w:rPr>
          <w:b/>
        </w:rPr>
      </w:sdtEndPr>
      <w:sdtContent>
        <w:p w:rsidR="00E65B52" w:rsidRDefault="00D033EA">
          <w:pPr>
            <w:ind w:firstLineChars="0" w:firstLine="0"/>
            <w:jc w:val="center"/>
            <w:rPr>
              <w:sz w:val="32"/>
              <w:szCs w:val="32"/>
            </w:rPr>
          </w:pPr>
          <w:r>
            <w:rPr>
              <w:rFonts w:ascii="宋体" w:hAnsi="宋体"/>
              <w:sz w:val="32"/>
              <w:szCs w:val="32"/>
            </w:rPr>
            <w:t>目录</w:t>
          </w:r>
        </w:p>
        <w:p w:rsidR="00E65B52" w:rsidRDefault="007F0666">
          <w:pPr>
            <w:pStyle w:val="WPSOffice1"/>
            <w:tabs>
              <w:tab w:val="right" w:leader="dot" w:pos="8306"/>
            </w:tabs>
            <w:rPr>
              <w:b/>
            </w:rPr>
          </w:pPr>
          <w:r w:rsidRPr="007F0666">
            <w:fldChar w:fldCharType="begin"/>
          </w:r>
          <w:r w:rsidR="00D033EA">
            <w:instrText xml:space="preserve">TOC \o "1-2" \h \u </w:instrText>
          </w:r>
          <w:r w:rsidRPr="007F0666">
            <w:fldChar w:fldCharType="separate"/>
          </w:r>
          <w:hyperlink w:anchor="_Toc4257" w:history="1">
            <w:r w:rsidR="00D033EA">
              <w:rPr>
                <w:rFonts w:hint="eastAsia"/>
                <w:b/>
                <w:sz w:val="28"/>
                <w:szCs w:val="28"/>
              </w:rPr>
              <w:t>1</w:t>
            </w:r>
            <w:r w:rsidR="00D033EA">
              <w:rPr>
                <w:rFonts w:hint="eastAsia"/>
                <w:b/>
                <w:sz w:val="28"/>
                <w:szCs w:val="28"/>
              </w:rPr>
              <w:t>、引言</w:t>
            </w:r>
            <w:r w:rsidR="00D033EA">
              <w:rPr>
                <w:b/>
                <w:sz w:val="28"/>
                <w:szCs w:val="28"/>
              </w:rPr>
              <w:tab/>
            </w:r>
            <w:r w:rsidR="00D033EA">
              <w:rPr>
                <w:rFonts w:hint="eastAsia"/>
                <w:b/>
                <w:sz w:val="28"/>
                <w:szCs w:val="28"/>
              </w:rPr>
              <w:t>1</w:t>
            </w:r>
          </w:hyperlink>
        </w:p>
        <w:p w:rsidR="00E65B52" w:rsidRDefault="007F0666">
          <w:pPr>
            <w:pStyle w:val="WPSOffice2"/>
            <w:tabs>
              <w:tab w:val="right" w:leader="dot" w:pos="8306"/>
            </w:tabs>
            <w:ind w:left="560"/>
            <w:rPr>
              <w:sz w:val="28"/>
              <w:szCs w:val="28"/>
            </w:rPr>
          </w:pPr>
          <w:hyperlink w:anchor="_Toc32450" w:history="1">
            <w:r w:rsidR="00D033EA">
              <w:rPr>
                <w:rFonts w:hint="eastAsia"/>
                <w:sz w:val="28"/>
                <w:szCs w:val="28"/>
              </w:rPr>
              <w:t>1.1</w:t>
            </w:r>
            <w:r w:rsidR="00D033EA">
              <w:rPr>
                <w:rFonts w:hint="eastAsia"/>
                <w:sz w:val="28"/>
                <w:szCs w:val="28"/>
              </w:rPr>
              <w:t>、部门职责概述</w:t>
            </w:r>
            <w:r w:rsidR="00D033EA">
              <w:rPr>
                <w:sz w:val="28"/>
                <w:szCs w:val="28"/>
              </w:rPr>
              <w:tab/>
            </w:r>
            <w:r>
              <w:rPr>
                <w:sz w:val="28"/>
                <w:szCs w:val="28"/>
              </w:rPr>
              <w:fldChar w:fldCharType="begin"/>
            </w:r>
            <w:r w:rsidR="00D033EA">
              <w:rPr>
                <w:sz w:val="28"/>
                <w:szCs w:val="28"/>
              </w:rPr>
              <w:instrText xml:space="preserve"> PAGEREF _Toc32450 \h </w:instrText>
            </w:r>
            <w:r>
              <w:rPr>
                <w:sz w:val="28"/>
                <w:szCs w:val="28"/>
              </w:rPr>
            </w:r>
            <w:r>
              <w:rPr>
                <w:sz w:val="28"/>
                <w:szCs w:val="28"/>
              </w:rPr>
              <w:fldChar w:fldCharType="separate"/>
            </w:r>
            <w:r w:rsidR="00D033EA">
              <w:rPr>
                <w:sz w:val="28"/>
                <w:szCs w:val="28"/>
              </w:rPr>
              <w:t>1</w:t>
            </w:r>
            <w:r>
              <w:rPr>
                <w:sz w:val="28"/>
                <w:szCs w:val="28"/>
              </w:rPr>
              <w:fldChar w:fldCharType="end"/>
            </w:r>
          </w:hyperlink>
        </w:p>
        <w:p w:rsidR="00E65B52" w:rsidRDefault="007F0666">
          <w:pPr>
            <w:pStyle w:val="WPSOffice2"/>
            <w:tabs>
              <w:tab w:val="right" w:leader="dot" w:pos="8306"/>
            </w:tabs>
            <w:ind w:left="560"/>
            <w:rPr>
              <w:sz w:val="28"/>
              <w:szCs w:val="28"/>
            </w:rPr>
          </w:pPr>
          <w:hyperlink w:anchor="_Toc30388" w:history="1">
            <w:r w:rsidR="00D033EA">
              <w:rPr>
                <w:rFonts w:hint="eastAsia"/>
                <w:sz w:val="28"/>
                <w:szCs w:val="28"/>
              </w:rPr>
              <w:t>1.2</w:t>
            </w:r>
            <w:r w:rsidR="00D033EA">
              <w:rPr>
                <w:rFonts w:hint="eastAsia"/>
                <w:sz w:val="28"/>
                <w:szCs w:val="28"/>
              </w:rPr>
              <w:t>、部门收支描述</w:t>
            </w:r>
            <w:r w:rsidR="00D033EA">
              <w:rPr>
                <w:sz w:val="28"/>
                <w:szCs w:val="28"/>
              </w:rPr>
              <w:tab/>
            </w:r>
            <w:r>
              <w:rPr>
                <w:sz w:val="28"/>
                <w:szCs w:val="28"/>
              </w:rPr>
              <w:fldChar w:fldCharType="begin"/>
            </w:r>
            <w:r w:rsidR="00D033EA">
              <w:rPr>
                <w:sz w:val="28"/>
                <w:szCs w:val="28"/>
              </w:rPr>
              <w:instrText xml:space="preserve"> PAGEREF _Toc30388 \h </w:instrText>
            </w:r>
            <w:r>
              <w:rPr>
                <w:sz w:val="28"/>
                <w:szCs w:val="28"/>
              </w:rPr>
            </w:r>
            <w:r>
              <w:rPr>
                <w:sz w:val="28"/>
                <w:szCs w:val="28"/>
              </w:rPr>
              <w:fldChar w:fldCharType="separate"/>
            </w:r>
            <w:r w:rsidR="00D033EA">
              <w:rPr>
                <w:sz w:val="28"/>
                <w:szCs w:val="28"/>
              </w:rPr>
              <w:t>6</w:t>
            </w:r>
            <w:r>
              <w:rPr>
                <w:sz w:val="28"/>
                <w:szCs w:val="28"/>
              </w:rPr>
              <w:fldChar w:fldCharType="end"/>
            </w:r>
          </w:hyperlink>
        </w:p>
        <w:p w:rsidR="00E65B52" w:rsidRDefault="007F0666">
          <w:pPr>
            <w:pStyle w:val="WPSOffice2"/>
            <w:tabs>
              <w:tab w:val="right" w:leader="dot" w:pos="8306"/>
            </w:tabs>
            <w:ind w:left="560"/>
            <w:rPr>
              <w:sz w:val="28"/>
              <w:szCs w:val="28"/>
            </w:rPr>
          </w:pPr>
          <w:hyperlink w:anchor="_Toc6798" w:history="1">
            <w:r w:rsidR="00D033EA">
              <w:rPr>
                <w:rFonts w:hint="eastAsia"/>
                <w:sz w:val="28"/>
                <w:szCs w:val="28"/>
              </w:rPr>
              <w:t>1.3</w:t>
            </w:r>
            <w:r w:rsidR="00D033EA">
              <w:rPr>
                <w:rFonts w:hint="eastAsia"/>
                <w:sz w:val="28"/>
                <w:szCs w:val="28"/>
              </w:rPr>
              <w:t>、部门项目实施情况</w:t>
            </w:r>
            <w:r w:rsidR="00D033EA">
              <w:rPr>
                <w:sz w:val="28"/>
                <w:szCs w:val="28"/>
              </w:rPr>
              <w:tab/>
            </w:r>
            <w:r>
              <w:rPr>
                <w:sz w:val="28"/>
                <w:szCs w:val="28"/>
              </w:rPr>
              <w:fldChar w:fldCharType="begin"/>
            </w:r>
            <w:r w:rsidR="00D033EA">
              <w:rPr>
                <w:sz w:val="28"/>
                <w:szCs w:val="28"/>
              </w:rPr>
              <w:instrText xml:space="preserve"> PAGEREF _Toc6798 \h </w:instrText>
            </w:r>
            <w:r>
              <w:rPr>
                <w:sz w:val="28"/>
                <w:szCs w:val="28"/>
              </w:rPr>
            </w:r>
            <w:r>
              <w:rPr>
                <w:sz w:val="28"/>
                <w:szCs w:val="28"/>
              </w:rPr>
              <w:fldChar w:fldCharType="separate"/>
            </w:r>
            <w:r w:rsidR="00D033EA">
              <w:rPr>
                <w:sz w:val="28"/>
                <w:szCs w:val="28"/>
              </w:rPr>
              <w:t>7</w:t>
            </w:r>
            <w:r>
              <w:rPr>
                <w:sz w:val="28"/>
                <w:szCs w:val="28"/>
              </w:rPr>
              <w:fldChar w:fldCharType="end"/>
            </w:r>
          </w:hyperlink>
        </w:p>
        <w:p w:rsidR="00E65B52" w:rsidRDefault="007F0666">
          <w:pPr>
            <w:pStyle w:val="WPSOffice1"/>
            <w:tabs>
              <w:tab w:val="right" w:leader="dot" w:pos="8306"/>
            </w:tabs>
            <w:rPr>
              <w:b/>
              <w:sz w:val="28"/>
              <w:szCs w:val="28"/>
            </w:rPr>
          </w:pPr>
          <w:hyperlink w:anchor="_Toc21468" w:history="1">
            <w:r w:rsidR="00D033EA">
              <w:rPr>
                <w:rFonts w:hint="eastAsia"/>
                <w:b/>
                <w:sz w:val="28"/>
                <w:szCs w:val="28"/>
              </w:rPr>
              <w:t>2</w:t>
            </w:r>
            <w:r w:rsidR="00D033EA">
              <w:rPr>
                <w:rFonts w:hint="eastAsia"/>
                <w:b/>
                <w:sz w:val="28"/>
                <w:szCs w:val="28"/>
              </w:rPr>
              <w:t>、绩效评价概述</w:t>
            </w:r>
            <w:r w:rsidR="00D033EA">
              <w:rPr>
                <w:b/>
                <w:sz w:val="28"/>
                <w:szCs w:val="28"/>
              </w:rPr>
              <w:tab/>
            </w:r>
          </w:hyperlink>
          <w:r w:rsidR="00D033EA">
            <w:rPr>
              <w:rFonts w:hint="eastAsia"/>
              <w:b/>
              <w:sz w:val="28"/>
              <w:szCs w:val="28"/>
            </w:rPr>
            <w:t>9</w:t>
          </w:r>
        </w:p>
        <w:p w:rsidR="00E65B52" w:rsidRDefault="007F0666">
          <w:pPr>
            <w:pStyle w:val="WPSOffice2"/>
            <w:tabs>
              <w:tab w:val="right" w:leader="dot" w:pos="8306"/>
            </w:tabs>
            <w:ind w:left="560"/>
            <w:rPr>
              <w:sz w:val="28"/>
              <w:szCs w:val="28"/>
            </w:rPr>
          </w:pPr>
          <w:hyperlink w:anchor="_Toc8589" w:history="1">
            <w:r w:rsidR="00D033EA">
              <w:rPr>
                <w:rFonts w:hint="eastAsia"/>
                <w:sz w:val="28"/>
                <w:szCs w:val="28"/>
              </w:rPr>
              <w:t>2.1</w:t>
            </w:r>
            <w:r w:rsidR="00D033EA">
              <w:rPr>
                <w:rFonts w:hint="eastAsia"/>
                <w:sz w:val="28"/>
                <w:szCs w:val="28"/>
              </w:rPr>
              <w:t>、绩效评价目的</w:t>
            </w:r>
            <w:r w:rsidR="00D033EA">
              <w:rPr>
                <w:sz w:val="28"/>
                <w:szCs w:val="28"/>
              </w:rPr>
              <w:tab/>
            </w:r>
          </w:hyperlink>
          <w:r w:rsidR="00D033EA">
            <w:rPr>
              <w:rFonts w:hint="eastAsia"/>
              <w:sz w:val="28"/>
              <w:szCs w:val="28"/>
            </w:rPr>
            <w:t>9</w:t>
          </w:r>
        </w:p>
        <w:p w:rsidR="00E65B52" w:rsidRDefault="007F0666">
          <w:pPr>
            <w:pStyle w:val="WPSOffice2"/>
            <w:tabs>
              <w:tab w:val="right" w:leader="dot" w:pos="8306"/>
            </w:tabs>
            <w:ind w:left="560"/>
            <w:rPr>
              <w:sz w:val="28"/>
              <w:szCs w:val="28"/>
            </w:rPr>
          </w:pPr>
          <w:hyperlink w:anchor="_Toc21273" w:history="1">
            <w:r w:rsidR="00D033EA">
              <w:rPr>
                <w:rFonts w:hint="eastAsia"/>
                <w:sz w:val="28"/>
                <w:szCs w:val="28"/>
              </w:rPr>
              <w:t>2.2</w:t>
            </w:r>
            <w:r w:rsidR="00D033EA">
              <w:rPr>
                <w:rFonts w:hint="eastAsia"/>
                <w:sz w:val="28"/>
                <w:szCs w:val="28"/>
              </w:rPr>
              <w:t>、绩效评价实施过程</w:t>
            </w:r>
            <w:r w:rsidR="00D033EA">
              <w:rPr>
                <w:sz w:val="28"/>
                <w:szCs w:val="28"/>
              </w:rPr>
              <w:tab/>
            </w:r>
            <w:r>
              <w:rPr>
                <w:sz w:val="28"/>
                <w:szCs w:val="28"/>
              </w:rPr>
              <w:fldChar w:fldCharType="begin"/>
            </w:r>
            <w:r w:rsidR="00D033EA">
              <w:rPr>
                <w:sz w:val="28"/>
                <w:szCs w:val="28"/>
              </w:rPr>
              <w:instrText xml:space="preserve"> PAGEREF _Toc21273 \h </w:instrText>
            </w:r>
            <w:r>
              <w:rPr>
                <w:sz w:val="28"/>
                <w:szCs w:val="28"/>
              </w:rPr>
            </w:r>
            <w:r>
              <w:rPr>
                <w:sz w:val="28"/>
                <w:szCs w:val="28"/>
              </w:rPr>
              <w:fldChar w:fldCharType="separate"/>
            </w:r>
            <w:r w:rsidR="00D033EA">
              <w:rPr>
                <w:sz w:val="28"/>
                <w:szCs w:val="28"/>
              </w:rPr>
              <w:t>9</w:t>
            </w:r>
            <w:r>
              <w:rPr>
                <w:sz w:val="28"/>
                <w:szCs w:val="28"/>
              </w:rPr>
              <w:fldChar w:fldCharType="end"/>
            </w:r>
          </w:hyperlink>
        </w:p>
        <w:p w:rsidR="00E65B52" w:rsidRDefault="007F0666">
          <w:pPr>
            <w:pStyle w:val="WPSOffice2"/>
            <w:tabs>
              <w:tab w:val="right" w:leader="dot" w:pos="8306"/>
            </w:tabs>
            <w:ind w:left="560"/>
            <w:rPr>
              <w:sz w:val="28"/>
              <w:szCs w:val="28"/>
            </w:rPr>
          </w:pPr>
          <w:hyperlink w:anchor="_Toc6217" w:history="1">
            <w:r w:rsidR="00D033EA">
              <w:rPr>
                <w:rFonts w:hint="eastAsia"/>
                <w:sz w:val="28"/>
                <w:szCs w:val="28"/>
              </w:rPr>
              <w:t>2.3</w:t>
            </w:r>
            <w:r w:rsidR="00D033EA">
              <w:rPr>
                <w:rFonts w:hint="eastAsia"/>
                <w:sz w:val="28"/>
                <w:szCs w:val="28"/>
              </w:rPr>
              <w:t>、绩效评价的局限性</w:t>
            </w:r>
            <w:r w:rsidR="00D033EA">
              <w:rPr>
                <w:sz w:val="28"/>
                <w:szCs w:val="28"/>
              </w:rPr>
              <w:tab/>
            </w:r>
            <w:r>
              <w:rPr>
                <w:sz w:val="28"/>
                <w:szCs w:val="28"/>
              </w:rPr>
              <w:fldChar w:fldCharType="begin"/>
            </w:r>
            <w:r w:rsidR="00D033EA">
              <w:rPr>
                <w:sz w:val="28"/>
                <w:szCs w:val="28"/>
              </w:rPr>
              <w:instrText xml:space="preserve"> PAGEREF _Toc6217 \h </w:instrText>
            </w:r>
            <w:r>
              <w:rPr>
                <w:sz w:val="28"/>
                <w:szCs w:val="28"/>
              </w:rPr>
            </w:r>
            <w:r>
              <w:rPr>
                <w:sz w:val="28"/>
                <w:szCs w:val="28"/>
              </w:rPr>
              <w:fldChar w:fldCharType="separate"/>
            </w:r>
            <w:r w:rsidR="00D033EA">
              <w:rPr>
                <w:sz w:val="28"/>
                <w:szCs w:val="28"/>
              </w:rPr>
              <w:t>10</w:t>
            </w:r>
            <w:r>
              <w:rPr>
                <w:sz w:val="28"/>
                <w:szCs w:val="28"/>
              </w:rPr>
              <w:fldChar w:fldCharType="end"/>
            </w:r>
          </w:hyperlink>
        </w:p>
        <w:p w:rsidR="00E65B52" w:rsidRDefault="007F0666">
          <w:pPr>
            <w:pStyle w:val="WPSOffice1"/>
            <w:tabs>
              <w:tab w:val="right" w:leader="dot" w:pos="8306"/>
            </w:tabs>
            <w:rPr>
              <w:b/>
              <w:sz w:val="28"/>
              <w:szCs w:val="28"/>
            </w:rPr>
          </w:pPr>
          <w:hyperlink w:anchor="_Toc32302" w:history="1">
            <w:r w:rsidR="00D033EA">
              <w:rPr>
                <w:rFonts w:hint="eastAsia"/>
                <w:b/>
                <w:sz w:val="28"/>
                <w:szCs w:val="28"/>
              </w:rPr>
              <w:t>3</w:t>
            </w:r>
            <w:r w:rsidR="00D033EA">
              <w:rPr>
                <w:rFonts w:hint="eastAsia"/>
                <w:b/>
                <w:sz w:val="28"/>
                <w:szCs w:val="28"/>
              </w:rPr>
              <w:t>、部门整体绩效评价分析</w:t>
            </w:r>
            <w:r w:rsidR="00D033EA">
              <w:rPr>
                <w:b/>
                <w:sz w:val="28"/>
                <w:szCs w:val="28"/>
              </w:rPr>
              <w:tab/>
            </w:r>
            <w:r>
              <w:rPr>
                <w:b/>
                <w:sz w:val="28"/>
                <w:szCs w:val="28"/>
              </w:rPr>
              <w:fldChar w:fldCharType="begin"/>
            </w:r>
            <w:r w:rsidR="00D033EA">
              <w:rPr>
                <w:b/>
                <w:sz w:val="28"/>
                <w:szCs w:val="28"/>
              </w:rPr>
              <w:instrText xml:space="preserve"> PAGEREF _Toc32302 \h </w:instrText>
            </w:r>
            <w:r>
              <w:rPr>
                <w:b/>
                <w:sz w:val="28"/>
                <w:szCs w:val="28"/>
              </w:rPr>
            </w:r>
            <w:r>
              <w:rPr>
                <w:b/>
                <w:sz w:val="28"/>
                <w:szCs w:val="28"/>
              </w:rPr>
              <w:fldChar w:fldCharType="separate"/>
            </w:r>
            <w:r w:rsidR="00D033EA">
              <w:rPr>
                <w:b/>
                <w:sz w:val="28"/>
                <w:szCs w:val="28"/>
              </w:rPr>
              <w:t>10</w:t>
            </w:r>
            <w:r>
              <w:rPr>
                <w:b/>
                <w:sz w:val="28"/>
                <w:szCs w:val="28"/>
              </w:rPr>
              <w:fldChar w:fldCharType="end"/>
            </w:r>
          </w:hyperlink>
        </w:p>
        <w:p w:rsidR="00E65B52" w:rsidRDefault="007F0666">
          <w:pPr>
            <w:pStyle w:val="WPSOffice2"/>
            <w:tabs>
              <w:tab w:val="right" w:leader="dot" w:pos="8306"/>
            </w:tabs>
            <w:ind w:left="560"/>
            <w:rPr>
              <w:sz w:val="28"/>
              <w:szCs w:val="28"/>
            </w:rPr>
          </w:pPr>
          <w:hyperlink w:anchor="_Toc9044" w:history="1">
            <w:r w:rsidR="00D033EA">
              <w:rPr>
                <w:rFonts w:hint="eastAsia"/>
                <w:sz w:val="28"/>
                <w:szCs w:val="28"/>
              </w:rPr>
              <w:t>3.1</w:t>
            </w:r>
            <w:r w:rsidR="00D033EA">
              <w:rPr>
                <w:rFonts w:hint="eastAsia"/>
                <w:sz w:val="28"/>
                <w:szCs w:val="28"/>
              </w:rPr>
              <w:t>、内部管理（各指标得分情况和绩效分析）</w:t>
            </w:r>
            <w:r w:rsidR="00D033EA">
              <w:rPr>
                <w:sz w:val="28"/>
                <w:szCs w:val="28"/>
              </w:rPr>
              <w:tab/>
            </w:r>
            <w:r>
              <w:rPr>
                <w:sz w:val="28"/>
                <w:szCs w:val="28"/>
              </w:rPr>
              <w:fldChar w:fldCharType="begin"/>
            </w:r>
            <w:r w:rsidR="00D033EA">
              <w:rPr>
                <w:sz w:val="28"/>
                <w:szCs w:val="28"/>
              </w:rPr>
              <w:instrText xml:space="preserve"> PAGEREF _Toc9044 \h </w:instrText>
            </w:r>
            <w:r>
              <w:rPr>
                <w:sz w:val="28"/>
                <w:szCs w:val="28"/>
              </w:rPr>
            </w:r>
            <w:r>
              <w:rPr>
                <w:sz w:val="28"/>
                <w:szCs w:val="28"/>
              </w:rPr>
              <w:fldChar w:fldCharType="separate"/>
            </w:r>
            <w:r w:rsidR="00D033EA">
              <w:rPr>
                <w:sz w:val="28"/>
                <w:szCs w:val="28"/>
              </w:rPr>
              <w:t>10</w:t>
            </w:r>
            <w:r>
              <w:rPr>
                <w:sz w:val="28"/>
                <w:szCs w:val="28"/>
              </w:rPr>
              <w:fldChar w:fldCharType="end"/>
            </w:r>
          </w:hyperlink>
        </w:p>
        <w:p w:rsidR="00E65B52" w:rsidRDefault="007F0666">
          <w:pPr>
            <w:pStyle w:val="WPSOffice2"/>
            <w:tabs>
              <w:tab w:val="right" w:leader="dot" w:pos="8306"/>
            </w:tabs>
            <w:ind w:left="560"/>
            <w:rPr>
              <w:sz w:val="28"/>
              <w:szCs w:val="28"/>
            </w:rPr>
          </w:pPr>
          <w:hyperlink w:anchor="_Toc2518" w:history="1">
            <w:r w:rsidR="00D033EA">
              <w:rPr>
                <w:rFonts w:hint="eastAsia"/>
                <w:sz w:val="28"/>
                <w:szCs w:val="28"/>
              </w:rPr>
              <w:t>3.2</w:t>
            </w:r>
            <w:r w:rsidR="00D033EA">
              <w:rPr>
                <w:rFonts w:hint="eastAsia"/>
                <w:sz w:val="28"/>
                <w:szCs w:val="28"/>
              </w:rPr>
              <w:t>、部门履职（各指标得分情况和绩效分析）</w:t>
            </w:r>
            <w:r w:rsidR="00D033EA">
              <w:rPr>
                <w:sz w:val="28"/>
                <w:szCs w:val="28"/>
              </w:rPr>
              <w:tab/>
            </w:r>
            <w:r>
              <w:rPr>
                <w:sz w:val="28"/>
                <w:szCs w:val="28"/>
              </w:rPr>
              <w:fldChar w:fldCharType="begin"/>
            </w:r>
            <w:r w:rsidR="00D033EA">
              <w:rPr>
                <w:sz w:val="28"/>
                <w:szCs w:val="28"/>
              </w:rPr>
              <w:instrText xml:space="preserve"> PAGEREF _Toc2518 \h </w:instrText>
            </w:r>
            <w:r>
              <w:rPr>
                <w:sz w:val="28"/>
                <w:szCs w:val="28"/>
              </w:rPr>
            </w:r>
            <w:r>
              <w:rPr>
                <w:sz w:val="28"/>
                <w:szCs w:val="28"/>
              </w:rPr>
              <w:fldChar w:fldCharType="separate"/>
            </w:r>
            <w:r w:rsidR="00D033EA">
              <w:rPr>
                <w:sz w:val="28"/>
                <w:szCs w:val="28"/>
              </w:rPr>
              <w:t>12</w:t>
            </w:r>
            <w:r>
              <w:rPr>
                <w:sz w:val="28"/>
                <w:szCs w:val="28"/>
              </w:rPr>
              <w:fldChar w:fldCharType="end"/>
            </w:r>
          </w:hyperlink>
        </w:p>
        <w:p w:rsidR="00E65B52" w:rsidRDefault="007F0666">
          <w:pPr>
            <w:pStyle w:val="WPSOffice1"/>
            <w:tabs>
              <w:tab w:val="right" w:leader="dot" w:pos="8306"/>
            </w:tabs>
            <w:rPr>
              <w:b/>
              <w:sz w:val="28"/>
              <w:szCs w:val="28"/>
            </w:rPr>
          </w:pPr>
          <w:hyperlink w:anchor="_Toc1315" w:history="1">
            <w:r w:rsidR="00D033EA">
              <w:rPr>
                <w:rFonts w:hint="eastAsia"/>
                <w:b/>
                <w:sz w:val="28"/>
                <w:szCs w:val="28"/>
              </w:rPr>
              <w:t>4</w:t>
            </w:r>
            <w:r w:rsidR="00D033EA">
              <w:rPr>
                <w:rFonts w:hint="eastAsia"/>
                <w:b/>
                <w:sz w:val="28"/>
                <w:szCs w:val="28"/>
              </w:rPr>
              <w:t>、需要说明事项</w:t>
            </w:r>
            <w:r w:rsidR="00D033EA">
              <w:rPr>
                <w:b/>
                <w:sz w:val="28"/>
                <w:szCs w:val="28"/>
              </w:rPr>
              <w:tab/>
            </w:r>
            <w:r>
              <w:rPr>
                <w:b/>
                <w:sz w:val="28"/>
                <w:szCs w:val="28"/>
              </w:rPr>
              <w:fldChar w:fldCharType="begin"/>
            </w:r>
            <w:r w:rsidR="00D033EA">
              <w:rPr>
                <w:b/>
                <w:sz w:val="28"/>
                <w:szCs w:val="28"/>
              </w:rPr>
              <w:instrText xml:space="preserve"> PAGEREF _Toc1315 \h </w:instrText>
            </w:r>
            <w:r>
              <w:rPr>
                <w:b/>
                <w:sz w:val="28"/>
                <w:szCs w:val="28"/>
              </w:rPr>
            </w:r>
            <w:r>
              <w:rPr>
                <w:b/>
                <w:sz w:val="28"/>
                <w:szCs w:val="28"/>
              </w:rPr>
              <w:fldChar w:fldCharType="separate"/>
            </w:r>
            <w:r w:rsidR="00D033EA">
              <w:rPr>
                <w:b/>
                <w:sz w:val="28"/>
                <w:szCs w:val="28"/>
              </w:rPr>
              <w:t>20</w:t>
            </w:r>
            <w:r>
              <w:rPr>
                <w:b/>
                <w:sz w:val="28"/>
                <w:szCs w:val="28"/>
              </w:rPr>
              <w:fldChar w:fldCharType="end"/>
            </w:r>
          </w:hyperlink>
        </w:p>
        <w:p w:rsidR="00E65B52" w:rsidRDefault="007F0666">
          <w:pPr>
            <w:pStyle w:val="WPSOffice1"/>
            <w:tabs>
              <w:tab w:val="right" w:leader="dot" w:pos="8306"/>
            </w:tabs>
            <w:rPr>
              <w:b/>
              <w:sz w:val="28"/>
              <w:szCs w:val="28"/>
            </w:rPr>
          </w:pPr>
          <w:hyperlink w:anchor="_Toc13490" w:history="1">
            <w:r w:rsidR="00D033EA">
              <w:rPr>
                <w:rFonts w:hint="eastAsia"/>
                <w:b/>
                <w:sz w:val="28"/>
                <w:szCs w:val="28"/>
              </w:rPr>
              <w:t>5</w:t>
            </w:r>
            <w:r w:rsidR="00D033EA">
              <w:rPr>
                <w:rFonts w:hint="eastAsia"/>
                <w:b/>
                <w:sz w:val="28"/>
                <w:szCs w:val="28"/>
              </w:rPr>
              <w:t>、绩效评价结论</w:t>
            </w:r>
            <w:r w:rsidR="00D033EA">
              <w:rPr>
                <w:b/>
                <w:sz w:val="28"/>
                <w:szCs w:val="28"/>
              </w:rPr>
              <w:tab/>
            </w:r>
            <w:r>
              <w:rPr>
                <w:b/>
                <w:sz w:val="28"/>
                <w:szCs w:val="28"/>
              </w:rPr>
              <w:fldChar w:fldCharType="begin"/>
            </w:r>
            <w:r w:rsidR="00D033EA">
              <w:rPr>
                <w:b/>
                <w:sz w:val="28"/>
                <w:szCs w:val="28"/>
              </w:rPr>
              <w:instrText xml:space="preserve"> PAGEREF _Toc13490 \h </w:instrText>
            </w:r>
            <w:r>
              <w:rPr>
                <w:b/>
                <w:sz w:val="28"/>
                <w:szCs w:val="28"/>
              </w:rPr>
            </w:r>
            <w:r>
              <w:rPr>
                <w:b/>
                <w:sz w:val="28"/>
                <w:szCs w:val="28"/>
              </w:rPr>
              <w:fldChar w:fldCharType="separate"/>
            </w:r>
            <w:r w:rsidR="00D033EA">
              <w:rPr>
                <w:b/>
                <w:sz w:val="28"/>
                <w:szCs w:val="28"/>
              </w:rPr>
              <w:t>20</w:t>
            </w:r>
            <w:r>
              <w:rPr>
                <w:b/>
                <w:sz w:val="28"/>
                <w:szCs w:val="28"/>
              </w:rPr>
              <w:fldChar w:fldCharType="end"/>
            </w:r>
          </w:hyperlink>
        </w:p>
        <w:p w:rsidR="00E65B52" w:rsidRDefault="007F0666">
          <w:pPr>
            <w:pStyle w:val="WPSOffice2"/>
            <w:tabs>
              <w:tab w:val="right" w:leader="dot" w:pos="8306"/>
            </w:tabs>
            <w:ind w:left="560"/>
            <w:rPr>
              <w:sz w:val="28"/>
              <w:szCs w:val="28"/>
            </w:rPr>
          </w:pPr>
          <w:hyperlink w:anchor="_Toc30669" w:history="1">
            <w:r w:rsidR="00D033EA">
              <w:rPr>
                <w:rFonts w:hint="eastAsia"/>
                <w:sz w:val="28"/>
                <w:szCs w:val="28"/>
              </w:rPr>
              <w:t>5.1</w:t>
            </w:r>
            <w:r w:rsidR="00D033EA">
              <w:rPr>
                <w:rFonts w:hint="eastAsia"/>
                <w:sz w:val="28"/>
                <w:szCs w:val="28"/>
              </w:rPr>
              <w:t>、绩效评价得分</w:t>
            </w:r>
            <w:r w:rsidR="00D033EA">
              <w:rPr>
                <w:sz w:val="28"/>
                <w:szCs w:val="28"/>
              </w:rPr>
              <w:tab/>
            </w:r>
            <w:r>
              <w:rPr>
                <w:sz w:val="28"/>
                <w:szCs w:val="28"/>
              </w:rPr>
              <w:fldChar w:fldCharType="begin"/>
            </w:r>
            <w:r w:rsidR="00D033EA">
              <w:rPr>
                <w:sz w:val="28"/>
                <w:szCs w:val="28"/>
              </w:rPr>
              <w:instrText xml:space="preserve"> PAGEREF _Toc30669 \h </w:instrText>
            </w:r>
            <w:r>
              <w:rPr>
                <w:sz w:val="28"/>
                <w:szCs w:val="28"/>
              </w:rPr>
            </w:r>
            <w:r>
              <w:rPr>
                <w:sz w:val="28"/>
                <w:szCs w:val="28"/>
              </w:rPr>
              <w:fldChar w:fldCharType="separate"/>
            </w:r>
            <w:r w:rsidR="00D033EA">
              <w:rPr>
                <w:sz w:val="28"/>
                <w:szCs w:val="28"/>
              </w:rPr>
              <w:t>20</w:t>
            </w:r>
            <w:r>
              <w:rPr>
                <w:sz w:val="28"/>
                <w:szCs w:val="28"/>
              </w:rPr>
              <w:fldChar w:fldCharType="end"/>
            </w:r>
          </w:hyperlink>
        </w:p>
        <w:p w:rsidR="00E65B52" w:rsidRDefault="007F0666">
          <w:pPr>
            <w:pStyle w:val="WPSOffice2"/>
            <w:tabs>
              <w:tab w:val="right" w:leader="dot" w:pos="8306"/>
            </w:tabs>
            <w:ind w:left="560"/>
            <w:rPr>
              <w:sz w:val="28"/>
              <w:szCs w:val="28"/>
            </w:rPr>
          </w:pPr>
          <w:hyperlink w:anchor="_Toc22163" w:history="1">
            <w:r w:rsidR="00D033EA">
              <w:rPr>
                <w:rFonts w:hint="eastAsia"/>
                <w:sz w:val="28"/>
                <w:szCs w:val="28"/>
              </w:rPr>
              <w:t>5.2</w:t>
            </w:r>
            <w:r w:rsidR="00D033EA">
              <w:rPr>
                <w:rFonts w:hint="eastAsia"/>
                <w:sz w:val="28"/>
                <w:szCs w:val="28"/>
              </w:rPr>
              <w:t>、存在绩效问题</w:t>
            </w:r>
            <w:r w:rsidR="00D033EA">
              <w:rPr>
                <w:sz w:val="28"/>
                <w:szCs w:val="28"/>
              </w:rPr>
              <w:tab/>
            </w:r>
            <w:r>
              <w:rPr>
                <w:sz w:val="28"/>
                <w:szCs w:val="28"/>
              </w:rPr>
              <w:fldChar w:fldCharType="begin"/>
            </w:r>
            <w:r w:rsidR="00D033EA">
              <w:rPr>
                <w:sz w:val="28"/>
                <w:szCs w:val="28"/>
              </w:rPr>
              <w:instrText xml:space="preserve"> PAGEREF _Toc22163 \h </w:instrText>
            </w:r>
            <w:r>
              <w:rPr>
                <w:sz w:val="28"/>
                <w:szCs w:val="28"/>
              </w:rPr>
            </w:r>
            <w:r>
              <w:rPr>
                <w:sz w:val="28"/>
                <w:szCs w:val="28"/>
              </w:rPr>
              <w:fldChar w:fldCharType="separate"/>
            </w:r>
            <w:r w:rsidR="00D033EA">
              <w:rPr>
                <w:sz w:val="28"/>
                <w:szCs w:val="28"/>
              </w:rPr>
              <w:t>20</w:t>
            </w:r>
            <w:r>
              <w:rPr>
                <w:sz w:val="28"/>
                <w:szCs w:val="28"/>
              </w:rPr>
              <w:fldChar w:fldCharType="end"/>
            </w:r>
          </w:hyperlink>
        </w:p>
        <w:p w:rsidR="00E65B52" w:rsidRDefault="007F0666">
          <w:pPr>
            <w:pStyle w:val="WPSOffice1"/>
            <w:tabs>
              <w:tab w:val="right" w:leader="dot" w:pos="8306"/>
            </w:tabs>
            <w:rPr>
              <w:b/>
              <w:sz w:val="28"/>
              <w:szCs w:val="28"/>
            </w:rPr>
          </w:pPr>
          <w:hyperlink w:anchor="_Toc10671" w:history="1">
            <w:r w:rsidR="00D033EA">
              <w:rPr>
                <w:rFonts w:hint="eastAsia"/>
                <w:b/>
                <w:sz w:val="28"/>
                <w:szCs w:val="28"/>
              </w:rPr>
              <w:t>6</w:t>
            </w:r>
            <w:r w:rsidR="00D033EA">
              <w:rPr>
                <w:rFonts w:hint="eastAsia"/>
                <w:b/>
                <w:sz w:val="28"/>
                <w:szCs w:val="28"/>
              </w:rPr>
              <w:t>、经验教训与建议</w:t>
            </w:r>
            <w:r w:rsidR="00D033EA">
              <w:rPr>
                <w:b/>
                <w:sz w:val="28"/>
                <w:szCs w:val="28"/>
              </w:rPr>
              <w:tab/>
            </w:r>
            <w:r>
              <w:rPr>
                <w:b/>
                <w:sz w:val="28"/>
                <w:szCs w:val="28"/>
              </w:rPr>
              <w:fldChar w:fldCharType="begin"/>
            </w:r>
            <w:r w:rsidR="00D033EA">
              <w:rPr>
                <w:b/>
                <w:sz w:val="28"/>
                <w:szCs w:val="28"/>
              </w:rPr>
              <w:instrText xml:space="preserve"> PAGEREF _Toc10671 \h </w:instrText>
            </w:r>
            <w:r>
              <w:rPr>
                <w:b/>
                <w:sz w:val="28"/>
                <w:szCs w:val="28"/>
              </w:rPr>
            </w:r>
            <w:r>
              <w:rPr>
                <w:b/>
                <w:sz w:val="28"/>
                <w:szCs w:val="28"/>
              </w:rPr>
              <w:fldChar w:fldCharType="separate"/>
            </w:r>
            <w:r w:rsidR="00D033EA">
              <w:rPr>
                <w:b/>
                <w:sz w:val="28"/>
                <w:szCs w:val="28"/>
              </w:rPr>
              <w:t>21</w:t>
            </w:r>
            <w:r>
              <w:rPr>
                <w:b/>
                <w:sz w:val="28"/>
                <w:szCs w:val="28"/>
              </w:rPr>
              <w:fldChar w:fldCharType="end"/>
            </w:r>
          </w:hyperlink>
        </w:p>
        <w:p w:rsidR="00E65B52" w:rsidRDefault="007F0666">
          <w:pPr>
            <w:pStyle w:val="WPSOffice2"/>
            <w:tabs>
              <w:tab w:val="right" w:leader="dot" w:pos="8306"/>
            </w:tabs>
            <w:ind w:left="560"/>
            <w:rPr>
              <w:sz w:val="28"/>
              <w:szCs w:val="28"/>
            </w:rPr>
          </w:pPr>
          <w:hyperlink w:anchor="_Toc27393" w:history="1">
            <w:r w:rsidR="00D033EA">
              <w:rPr>
                <w:rFonts w:hint="eastAsia"/>
                <w:sz w:val="28"/>
                <w:szCs w:val="28"/>
              </w:rPr>
              <w:t>6.1</w:t>
            </w:r>
            <w:r w:rsidR="00D033EA">
              <w:rPr>
                <w:rFonts w:hint="eastAsia"/>
                <w:sz w:val="28"/>
                <w:szCs w:val="28"/>
              </w:rPr>
              <w:t>、经验教训</w:t>
            </w:r>
            <w:r w:rsidR="00D033EA">
              <w:rPr>
                <w:sz w:val="28"/>
                <w:szCs w:val="28"/>
              </w:rPr>
              <w:tab/>
            </w:r>
            <w:r>
              <w:rPr>
                <w:sz w:val="28"/>
                <w:szCs w:val="28"/>
              </w:rPr>
              <w:fldChar w:fldCharType="begin"/>
            </w:r>
            <w:r w:rsidR="00D033EA">
              <w:rPr>
                <w:sz w:val="28"/>
                <w:szCs w:val="28"/>
              </w:rPr>
              <w:instrText xml:space="preserve"> PAGEREF _Toc27393 \h </w:instrText>
            </w:r>
            <w:r>
              <w:rPr>
                <w:sz w:val="28"/>
                <w:szCs w:val="28"/>
              </w:rPr>
            </w:r>
            <w:r>
              <w:rPr>
                <w:sz w:val="28"/>
                <w:szCs w:val="28"/>
              </w:rPr>
              <w:fldChar w:fldCharType="separate"/>
            </w:r>
            <w:r w:rsidR="00D033EA">
              <w:rPr>
                <w:sz w:val="28"/>
                <w:szCs w:val="28"/>
              </w:rPr>
              <w:t>21</w:t>
            </w:r>
            <w:r>
              <w:rPr>
                <w:sz w:val="28"/>
                <w:szCs w:val="28"/>
              </w:rPr>
              <w:fldChar w:fldCharType="end"/>
            </w:r>
          </w:hyperlink>
        </w:p>
        <w:p w:rsidR="00E65B52" w:rsidRDefault="007F0666">
          <w:pPr>
            <w:pStyle w:val="WPSOffice2"/>
            <w:tabs>
              <w:tab w:val="right" w:leader="dot" w:pos="8306"/>
            </w:tabs>
            <w:ind w:left="560"/>
            <w:rPr>
              <w:sz w:val="28"/>
              <w:szCs w:val="28"/>
            </w:rPr>
          </w:pPr>
          <w:hyperlink w:anchor="_Toc7237" w:history="1">
            <w:r w:rsidR="00D033EA">
              <w:rPr>
                <w:rFonts w:hint="eastAsia"/>
                <w:sz w:val="28"/>
                <w:szCs w:val="28"/>
              </w:rPr>
              <w:t>6.2</w:t>
            </w:r>
            <w:r w:rsidR="00D033EA">
              <w:rPr>
                <w:rFonts w:hint="eastAsia"/>
                <w:sz w:val="28"/>
                <w:szCs w:val="28"/>
              </w:rPr>
              <w:t>、建议</w:t>
            </w:r>
            <w:r w:rsidR="00D033EA">
              <w:rPr>
                <w:sz w:val="28"/>
                <w:szCs w:val="28"/>
              </w:rPr>
              <w:tab/>
            </w:r>
            <w:r>
              <w:rPr>
                <w:sz w:val="28"/>
                <w:szCs w:val="28"/>
              </w:rPr>
              <w:fldChar w:fldCharType="begin"/>
            </w:r>
            <w:r w:rsidR="00D033EA">
              <w:rPr>
                <w:sz w:val="28"/>
                <w:szCs w:val="28"/>
              </w:rPr>
              <w:instrText xml:space="preserve"> PAGEREF _Toc7237 \h </w:instrText>
            </w:r>
            <w:r>
              <w:rPr>
                <w:sz w:val="28"/>
                <w:szCs w:val="28"/>
              </w:rPr>
            </w:r>
            <w:r>
              <w:rPr>
                <w:sz w:val="28"/>
                <w:szCs w:val="28"/>
              </w:rPr>
              <w:fldChar w:fldCharType="separate"/>
            </w:r>
            <w:r w:rsidR="00D033EA">
              <w:rPr>
                <w:sz w:val="28"/>
                <w:szCs w:val="28"/>
              </w:rPr>
              <w:t>21</w:t>
            </w:r>
            <w:r>
              <w:rPr>
                <w:sz w:val="28"/>
                <w:szCs w:val="28"/>
              </w:rPr>
              <w:fldChar w:fldCharType="end"/>
            </w:r>
          </w:hyperlink>
        </w:p>
        <w:p w:rsidR="00E65B52" w:rsidRDefault="007F0666">
          <w:pPr>
            <w:pStyle w:val="WPSOffice1"/>
            <w:tabs>
              <w:tab w:val="right" w:leader="dot" w:pos="8306"/>
            </w:tabs>
            <w:rPr>
              <w:b/>
            </w:rPr>
          </w:pPr>
          <w:hyperlink w:anchor="_Toc10735" w:history="1">
            <w:r w:rsidR="00D033EA">
              <w:rPr>
                <w:rFonts w:hint="eastAsia"/>
                <w:b/>
                <w:sz w:val="28"/>
                <w:szCs w:val="28"/>
              </w:rPr>
              <w:t>附：部门整体绩效评价指标评分表</w:t>
            </w:r>
            <w:r w:rsidR="00D033EA">
              <w:rPr>
                <w:b/>
                <w:sz w:val="28"/>
                <w:szCs w:val="28"/>
              </w:rPr>
              <w:tab/>
            </w:r>
            <w:r w:rsidR="00D033EA">
              <w:rPr>
                <w:rFonts w:hint="eastAsia"/>
                <w:b/>
                <w:sz w:val="28"/>
                <w:szCs w:val="28"/>
              </w:rPr>
              <w:t>3</w:t>
            </w:r>
          </w:hyperlink>
          <w:r w:rsidR="00D033EA">
            <w:rPr>
              <w:rFonts w:hint="eastAsia"/>
              <w:b/>
              <w:sz w:val="28"/>
              <w:szCs w:val="28"/>
            </w:rPr>
            <w:t>5</w:t>
          </w:r>
        </w:p>
        <w:p w:rsidR="00E65B52" w:rsidRDefault="007F0666">
          <w:pPr>
            <w:ind w:firstLine="562"/>
          </w:pPr>
          <w:r>
            <w:rPr>
              <w:b/>
            </w:rPr>
            <w:fldChar w:fldCharType="end"/>
          </w:r>
        </w:p>
      </w:sdtContent>
    </w:sdt>
    <w:p w:rsidR="00E65B52" w:rsidRDefault="00E65B52">
      <w:pPr>
        <w:pStyle w:val="1"/>
        <w:ind w:firstLine="643"/>
        <w:sectPr w:rsidR="00E65B52">
          <w:footerReference w:type="default" r:id="rId14"/>
          <w:pgSz w:w="11906" w:h="16838"/>
          <w:pgMar w:top="1440" w:right="1800" w:bottom="1440" w:left="1800" w:header="851" w:footer="992" w:gutter="0"/>
          <w:cols w:space="425"/>
          <w:docGrid w:type="lines" w:linePitch="312"/>
        </w:sectPr>
      </w:pPr>
    </w:p>
    <w:p w:rsidR="00E65B52" w:rsidRDefault="00D033EA">
      <w:pPr>
        <w:pStyle w:val="1"/>
        <w:ind w:firstLine="643"/>
      </w:pPr>
      <w:r>
        <w:rPr>
          <w:rFonts w:hint="eastAsia"/>
        </w:rPr>
        <w:lastRenderedPageBreak/>
        <w:t>1</w:t>
      </w:r>
      <w:r>
        <w:rPr>
          <w:rFonts w:hint="eastAsia"/>
        </w:rPr>
        <w:t>、引言</w:t>
      </w:r>
    </w:p>
    <w:p w:rsidR="00E65B52" w:rsidRDefault="00D033EA">
      <w:pPr>
        <w:ind w:firstLine="560"/>
      </w:pPr>
      <w:r>
        <w:rPr>
          <w:rFonts w:ascii="宋体" w:hAnsi="宋体" w:cs="宋体" w:hint="eastAsia"/>
        </w:rPr>
        <w:t>为贯彻落实全面推进预算绩效管理工作的要求，根据《全面实施预算绩效管理的意见》、《关于开展2021年度部门整体绩效自评价工作的通知》（连财绩〔2022〕3号）、《连云港市市级财政预算绩效目标管理办法》相关文件的要求和指导，确定的评价指标，结合连云港市住房和城乡建设局的实际情况拟定评价指标并开展绩效评价工作，现将评价结果报告如下：</w:t>
      </w:r>
    </w:p>
    <w:p w:rsidR="00E65B52" w:rsidRDefault="00D033EA">
      <w:pPr>
        <w:pStyle w:val="2"/>
        <w:ind w:firstLine="643"/>
      </w:pPr>
      <w:bookmarkStart w:id="0" w:name="_Toc9071"/>
      <w:bookmarkStart w:id="1" w:name="_Toc32450"/>
      <w:r>
        <w:rPr>
          <w:rFonts w:hint="eastAsia"/>
        </w:rPr>
        <w:t>1.1</w:t>
      </w:r>
      <w:r>
        <w:rPr>
          <w:rFonts w:hint="eastAsia"/>
        </w:rPr>
        <w:t>、部门职责概述</w:t>
      </w:r>
      <w:bookmarkEnd w:id="0"/>
      <w:bookmarkEnd w:id="1"/>
    </w:p>
    <w:p w:rsidR="00E65B52" w:rsidRDefault="00D033EA" w:rsidP="00273632">
      <w:pPr>
        <w:ind w:firstLine="560"/>
      </w:pPr>
      <w:r>
        <w:rPr>
          <w:rFonts w:hint="eastAsia"/>
        </w:rPr>
        <w:t>根据《省委办公厅省政府办公厅关于印发〈连云港市机构改革方案〉的通知》（苏办〔</w:t>
      </w:r>
      <w:r>
        <w:rPr>
          <w:rFonts w:hint="eastAsia"/>
        </w:rPr>
        <w:t>2019</w:t>
      </w:r>
      <w:r>
        <w:rPr>
          <w:rFonts w:hint="eastAsia"/>
        </w:rPr>
        <w:t>〕</w:t>
      </w:r>
      <w:r>
        <w:rPr>
          <w:rFonts w:hint="eastAsia"/>
        </w:rPr>
        <w:t>13</w:t>
      </w:r>
      <w:r>
        <w:rPr>
          <w:rFonts w:hint="eastAsia"/>
        </w:rPr>
        <w:t>号），制定本规定。市住房和城乡建设局是市政府工作部门，为正处级。加挂市人民防空办公室、市地震局、市园林局牌子。市住房和城乡建设局负责贯彻落实中央关于住房和城乡建设、人民防空和防震减灾工作的方针政策和省市委的决</w:t>
      </w:r>
      <w:r>
        <w:rPr>
          <w:rFonts w:hint="eastAsia"/>
        </w:rPr>
        <w:t xml:space="preserve"> </w:t>
      </w:r>
      <w:r>
        <w:rPr>
          <w:rFonts w:hint="eastAsia"/>
        </w:rPr>
        <w:t>策部署，在履行职责过程中坚持和加强党对住房和城乡建设工作</w:t>
      </w:r>
      <w:r>
        <w:rPr>
          <w:rFonts w:hint="eastAsia"/>
        </w:rPr>
        <w:t xml:space="preserve"> </w:t>
      </w:r>
      <w:r>
        <w:rPr>
          <w:rFonts w:hint="eastAsia"/>
        </w:rPr>
        <w:t>的集中统一领导。主要职责是：</w:t>
      </w:r>
    </w:p>
    <w:p w:rsidR="00E65B52" w:rsidRDefault="00D033EA" w:rsidP="00273632">
      <w:pPr>
        <w:ind w:firstLine="560"/>
      </w:pPr>
      <w:r>
        <w:rPr>
          <w:rFonts w:hint="eastAsia"/>
        </w:rPr>
        <w:t xml:space="preserve"> 1</w:t>
      </w:r>
      <w:r>
        <w:rPr>
          <w:rFonts w:hint="eastAsia"/>
        </w:rPr>
        <w:t>、承担规范全市住房和城乡建设管理秩序的责任。制定全市住房和城乡建设规范性文件。研究提出住房和城乡建设重大问题的政策建议。编制全市住房和城乡建设发展规划。指导全市住房和城乡建设综合行政执法工作。组织开展全市住房和城乡建设信用体系建设工作。</w:t>
      </w:r>
    </w:p>
    <w:p w:rsidR="00E65B52" w:rsidRDefault="00D033EA" w:rsidP="00273632">
      <w:pPr>
        <w:ind w:firstLine="560"/>
      </w:pPr>
      <w:r>
        <w:rPr>
          <w:rFonts w:hint="eastAsia"/>
        </w:rPr>
        <w:t>2</w:t>
      </w:r>
      <w:r>
        <w:rPr>
          <w:rFonts w:hint="eastAsia"/>
        </w:rPr>
        <w:t>、承担全市城镇住房保障和住房制度改革的责任。拟订住房政策、住房保障政策和住房制度改革方案，并指导实施。组织编制全市住房发展规划和住房保障发展规划、年度计划并监督实施。推进全市</w:t>
      </w:r>
      <w:r>
        <w:rPr>
          <w:rFonts w:hint="eastAsia"/>
        </w:rPr>
        <w:lastRenderedPageBreak/>
        <w:t>住房保障体系建设，建立并指导保障性安居工程运营管理制度的实施。监督全市除住房公积金外的其他住房资金的管理、使用和安全。会同有关部门做好中央、省、市有关廉租住房资金安排，指导和监督县、区组织实施。</w:t>
      </w:r>
    </w:p>
    <w:p w:rsidR="00E65B52" w:rsidRDefault="00D033EA" w:rsidP="00273632">
      <w:pPr>
        <w:ind w:firstLine="560"/>
      </w:pPr>
      <w:r>
        <w:rPr>
          <w:rFonts w:hint="eastAsia"/>
        </w:rPr>
        <w:t>3</w:t>
      </w:r>
      <w:r>
        <w:rPr>
          <w:rFonts w:hint="eastAsia"/>
        </w:rPr>
        <w:t>、承担规范房地产市场秩序、监督管理房地产市场的责任。拟订房地产业发展和市场监管政策并监督执行。提出房地产业的行业发展规划并监督实施。制定房地产开发、住宅产业化与性能认定、房屋租赁、房地产估价与经纪管理、物业管理、装饰装修、国有土地上房屋征收等规章制度并监督执行。参与制定全市国有土地出让计划。配合做好房地产交易与产权管理相关工作。</w:t>
      </w:r>
    </w:p>
    <w:p w:rsidR="00E65B52" w:rsidRDefault="00D033EA" w:rsidP="00273632">
      <w:pPr>
        <w:ind w:firstLine="560"/>
      </w:pPr>
      <w:r>
        <w:rPr>
          <w:rFonts w:hint="eastAsia"/>
        </w:rPr>
        <w:t>4</w:t>
      </w:r>
      <w:r>
        <w:rPr>
          <w:rFonts w:hint="eastAsia"/>
        </w:rPr>
        <w:t>、承担设计行业发展和管理的责任。拟订工程勘察设计咨询业发展规划、技术政策和规章制度。指导城市设计、建筑设计、工程勘察设计工作，会同有关部门负责历史文化名城（名镇、名村）和历史文化保护区的申报、保护规划的审查报批和监督实施工作。监督管理施工图设计审查工作。组织编制城乡建设抗震防灾规划、应急避难场所布局规划并监督实施，负责各类房屋建筑及其附属设施和市政设施的抗震设防工作，指导应急避难场所建设工作。</w:t>
      </w:r>
      <w:r>
        <w:rPr>
          <w:rFonts w:hint="eastAsia"/>
        </w:rPr>
        <w:t xml:space="preserve"> </w:t>
      </w:r>
    </w:p>
    <w:p w:rsidR="00E65B52" w:rsidRDefault="00D033EA" w:rsidP="00273632">
      <w:pPr>
        <w:ind w:firstLine="560"/>
      </w:pPr>
      <w:r>
        <w:rPr>
          <w:rFonts w:hint="eastAsia"/>
        </w:rPr>
        <w:t>5</w:t>
      </w:r>
      <w:r>
        <w:rPr>
          <w:rFonts w:hint="eastAsia"/>
        </w:rPr>
        <w:t>、拟订城市建设综合性发展规划。拟订全市城市市政基础设施和市政公用事业发展规划并指导实施。负责全市市政公用事业发展和市政基础设施建设、管理的责任。研究提出全市重大基础设施项目建设方案。推进海绵城市、城市地下综合管廊建设管理工作。负责人居环境奖评选的组织推荐和申报工作。参与生态文明、智慧城市、苏北</w:t>
      </w:r>
      <w:r>
        <w:rPr>
          <w:rFonts w:hint="eastAsia"/>
        </w:rPr>
        <w:lastRenderedPageBreak/>
        <w:t>发展工作。</w:t>
      </w:r>
    </w:p>
    <w:p w:rsidR="00E65B52" w:rsidRDefault="00D033EA" w:rsidP="00273632">
      <w:pPr>
        <w:ind w:firstLine="560"/>
      </w:pPr>
      <w:r>
        <w:rPr>
          <w:rFonts w:hint="eastAsia"/>
        </w:rPr>
        <w:t>6</w:t>
      </w:r>
      <w:r>
        <w:rPr>
          <w:rFonts w:hint="eastAsia"/>
        </w:rPr>
        <w:t>、承担监督指导全市城市园林绿化工作的责任。制定全市城市园林绿化政策、发展规划、技术规范并指导实施。指导城市规划区内的绿地系统构建、生物多样性及古树名木保护等工作。指导城市公园建设管理、古典园林保护修复、传统园林营造技艺传承等工作。指导县区创建“园林城市”、“生态园林城市”。负责组织各种园林园艺展览和交流活动。</w:t>
      </w:r>
    </w:p>
    <w:p w:rsidR="00E65B52" w:rsidRDefault="00D033EA" w:rsidP="00273632">
      <w:pPr>
        <w:ind w:firstLine="560"/>
      </w:pPr>
      <w:r>
        <w:rPr>
          <w:rFonts w:hint="eastAsia"/>
        </w:rPr>
        <w:t>7</w:t>
      </w:r>
      <w:r>
        <w:rPr>
          <w:rFonts w:hint="eastAsia"/>
        </w:rPr>
        <w:t>、协同推进乡村振兴战略，参与村镇建设规划编制，指导村庄和小城镇建设工作。指导农村住房建设和危房改造。配合开展小城镇人居环境改善工作。指导全市美丽宜居乡村建设工程、特色田园乡村、重点中心镇和特色小城镇的建设，指导农民群众住房条件改善工作，指导传统村落保护和发展工作。</w:t>
      </w:r>
    </w:p>
    <w:p w:rsidR="00E65B52" w:rsidRDefault="00D033EA" w:rsidP="00273632">
      <w:pPr>
        <w:ind w:firstLine="560"/>
      </w:pPr>
      <w:r>
        <w:rPr>
          <w:rFonts w:hint="eastAsia"/>
        </w:rPr>
        <w:t>8</w:t>
      </w:r>
      <w:r>
        <w:rPr>
          <w:rFonts w:hint="eastAsia"/>
        </w:rPr>
        <w:t>、承担建立科学规范的工程建设标准体系的责任。制定和发布工程建设地方标准及标准设计并监督执行。负责组织工程建设实施阶段全国、全省统一定额、计价依据和工程造价管理规章制度，拟订工程造价的管理制度。监督各类工程建设工程造价计价，组织发布工程造价信息。</w:t>
      </w:r>
    </w:p>
    <w:p w:rsidR="00E65B52" w:rsidRDefault="00D033EA" w:rsidP="00273632">
      <w:pPr>
        <w:ind w:firstLine="560"/>
      </w:pPr>
      <w:r>
        <w:rPr>
          <w:rFonts w:hint="eastAsia"/>
        </w:rPr>
        <w:t>9</w:t>
      </w:r>
      <w:r>
        <w:rPr>
          <w:rFonts w:hint="eastAsia"/>
        </w:rPr>
        <w:t>、承担监督管理建筑市场、规范市场各方主体行为、推进建筑业发展的责任。拟订建筑业行业发展战略、中长期规划、改革方案、产业政策、规章制度并监督执行。制定规范建筑市场主体及中介服务机构行为的规章制度并监督实施。指导房屋建筑和市政基础设施工程项目招投标活动、施工许可、竣工验收的监督管理。负责工程建设实</w:t>
      </w:r>
      <w:r>
        <w:rPr>
          <w:rFonts w:hint="eastAsia"/>
        </w:rPr>
        <w:lastRenderedPageBreak/>
        <w:t>施阶段的监督管理，指导工程项目建设、合同管理和工程风险管理。促进建筑企业对外开拓市场、参与国际工程承包。拟订全市政府投资工程集中建设的规章制度并监督执行。负责市级政府投资非盈利性工程项目集中建设日常指导和监管。</w:t>
      </w:r>
    </w:p>
    <w:p w:rsidR="00E65B52" w:rsidRDefault="00D033EA" w:rsidP="00273632">
      <w:pPr>
        <w:ind w:firstLine="560"/>
      </w:pPr>
      <w:r>
        <w:rPr>
          <w:rFonts w:hint="eastAsia"/>
        </w:rPr>
        <w:t>10</w:t>
      </w:r>
      <w:r>
        <w:rPr>
          <w:rFonts w:hint="eastAsia"/>
        </w:rPr>
        <w:t>、承担建筑工程质量安全监管的责任。制定建筑工程质量、安全生产的规章制度，负责房屋建筑、市政基础设施、园林绿化、人民防空工程质量监督、安全监督工作。制定建筑业技术政策并指导实施。参与市政府组织的工程重大安全事故的调查处理，参与国家和省、市审批立项的房屋建筑、市政基础设施和人民防空重大建设项目工程质量、安全、施工现场监管和竣工验收的管理工作。组织评审市级优质工程，审核推荐省级优质工程。</w:t>
      </w:r>
    </w:p>
    <w:p w:rsidR="00E65B52" w:rsidRDefault="00D033EA" w:rsidP="00273632">
      <w:pPr>
        <w:ind w:firstLine="560"/>
      </w:pPr>
      <w:r>
        <w:rPr>
          <w:rFonts w:hint="eastAsia"/>
        </w:rPr>
        <w:t>11</w:t>
      </w:r>
      <w:r>
        <w:rPr>
          <w:rFonts w:hint="eastAsia"/>
        </w:rPr>
        <w:t>、承担推进科技进步、绿色建筑发展、建筑节能、城镇建筑减排的责任。会同有关部门制定全市建设科技发展规划、年度计划和技术经济政策并指导实施。会同有关部门拟订绿色建筑、智慧建筑和建筑节能的政策、规划并监督实施。组织建筑行业重大科技项目研究和重大建筑节能项目实施。组织开展重大科技项目攻关、科技成果转化、新技术开发、技术引进及新材料的推广和应用工作。推进建筑产业现代化。指导建筑能效测评和绿色建筑标识管理。</w:t>
      </w:r>
    </w:p>
    <w:p w:rsidR="00E65B52" w:rsidRDefault="00D033EA" w:rsidP="00273632">
      <w:pPr>
        <w:ind w:firstLine="560"/>
      </w:pPr>
      <w:r>
        <w:rPr>
          <w:rFonts w:hint="eastAsia"/>
        </w:rPr>
        <w:t>12</w:t>
      </w:r>
      <w:r>
        <w:rPr>
          <w:rFonts w:hint="eastAsia"/>
        </w:rPr>
        <w:t>、负责编制城市人民防空建设发展中长期规划和人防工程专项规划。编制人民防空经费预算，依法筹集人民防空建设经费。监督人民防空工程建设参与主体行为。负责人民防空国有资产管理。负责城市地下空间开发利用中人民防空防护等事项的管理和监督检查工作。</w:t>
      </w:r>
      <w:r>
        <w:rPr>
          <w:rFonts w:hint="eastAsia"/>
        </w:rPr>
        <w:lastRenderedPageBreak/>
        <w:t>承担已建人民防空工程的维护、使用安全管理责任。制定全市人民防空宣传、教育计划并督促贯彻实施。拟订市人民防空指挥系统转入战时体制方案。指导制定城市防空袭方案和重要经济目标防护方案。组织制定城市人口疏散计划。组织人民防空演习。负责本市人民防空信息化及警报建设和管理工作。保障市委、市政府、军分区组织指挥全市人民防空行动。</w:t>
      </w:r>
    </w:p>
    <w:p w:rsidR="00E65B52" w:rsidRDefault="00D033EA" w:rsidP="00273632">
      <w:pPr>
        <w:ind w:firstLine="560"/>
      </w:pPr>
      <w:r>
        <w:rPr>
          <w:rFonts w:hint="eastAsia"/>
        </w:rPr>
        <w:t>13</w:t>
      </w:r>
      <w:r>
        <w:rPr>
          <w:rFonts w:hint="eastAsia"/>
        </w:rPr>
        <w:t>、拟订监测台网规划。拟订市级防震减灾规划，编制年度防震减灾经费预算。划定地震监测环境保护范围，依法保护地震监测设施和地震观测环境。负责全市各类地震台网管理工作，建立健全地震信息共享平台。承担日常地震活动监测预报工作。根据地震监测信息研究结果，对可能发生地震的地点、时间和震级做出预测。组织做好震情跟踪、流动观测和可能与地震有关的异常现象观测以及群测群防工作。承担全市震害防御管理工作。监督管理以地震烈度或地震动参数表述的抗震设防要求执行情况、地震安全性评价工作。</w:t>
      </w:r>
    </w:p>
    <w:p w:rsidR="00E65B52" w:rsidRDefault="00D033EA" w:rsidP="00273632">
      <w:pPr>
        <w:ind w:firstLine="560"/>
      </w:pPr>
      <w:r>
        <w:rPr>
          <w:rFonts w:hint="eastAsia"/>
        </w:rPr>
        <w:t>14</w:t>
      </w:r>
      <w:r>
        <w:rPr>
          <w:rFonts w:hint="eastAsia"/>
        </w:rPr>
        <w:t>、负责全市住房和城乡建设行业安全生产的监督管理，参与有关事故的调查处理及应急管理工作。组织开展行业安全生产检查和专项督查。推进本行业安全生产标准化建设。</w:t>
      </w:r>
    </w:p>
    <w:p w:rsidR="00E65B52" w:rsidRDefault="00D033EA" w:rsidP="00273632">
      <w:pPr>
        <w:ind w:firstLine="560"/>
      </w:pPr>
      <w:r>
        <w:rPr>
          <w:rFonts w:hint="eastAsia"/>
        </w:rPr>
        <w:t>15</w:t>
      </w:r>
      <w:r>
        <w:rPr>
          <w:rFonts w:hint="eastAsia"/>
        </w:rPr>
        <w:t>、指导全市住房和城乡建设行业的人才培养、职业教育、执业资格考试与注册管理工作。指导住房和城乡建设档案工作。组织对外交流与合作。</w:t>
      </w:r>
    </w:p>
    <w:p w:rsidR="00E65B52" w:rsidRDefault="00D033EA" w:rsidP="00273632">
      <w:pPr>
        <w:ind w:firstLine="560"/>
      </w:pPr>
      <w:r>
        <w:rPr>
          <w:rFonts w:hint="eastAsia"/>
        </w:rPr>
        <w:t>16</w:t>
      </w:r>
      <w:r>
        <w:rPr>
          <w:rFonts w:hint="eastAsia"/>
        </w:rPr>
        <w:t>、完成市委、市政府交办的其他任务。</w:t>
      </w:r>
    </w:p>
    <w:p w:rsidR="00E65B52" w:rsidRDefault="00D033EA">
      <w:pPr>
        <w:pStyle w:val="2"/>
        <w:ind w:firstLine="643"/>
      </w:pPr>
      <w:bookmarkStart w:id="2" w:name="_Toc30388"/>
      <w:bookmarkStart w:id="3" w:name="_Toc24929"/>
      <w:r>
        <w:rPr>
          <w:rFonts w:hint="eastAsia"/>
        </w:rPr>
        <w:lastRenderedPageBreak/>
        <w:t>1.2</w:t>
      </w:r>
      <w:r>
        <w:rPr>
          <w:rFonts w:hint="eastAsia"/>
        </w:rPr>
        <w:t>、部门收支描述</w:t>
      </w:r>
      <w:bookmarkEnd w:id="2"/>
      <w:bookmarkEnd w:id="3"/>
    </w:p>
    <w:p w:rsidR="00E65B52" w:rsidRDefault="00D033EA" w:rsidP="00273632">
      <w:pPr>
        <w:ind w:firstLine="560"/>
      </w:pPr>
      <w:r>
        <w:rPr>
          <w:rFonts w:hint="eastAsia"/>
        </w:rPr>
        <w:t>2021</w:t>
      </w:r>
      <w:r>
        <w:rPr>
          <w:rFonts w:hint="eastAsia"/>
        </w:rPr>
        <w:t>年度收入、支出决算总计</w:t>
      </w:r>
      <w:r>
        <w:rPr>
          <w:rFonts w:hint="eastAsia"/>
        </w:rPr>
        <w:t>42,669.94</w:t>
      </w:r>
      <w:r>
        <w:rPr>
          <w:rFonts w:hint="eastAsia"/>
        </w:rPr>
        <w:t>万元。与上年相比，收、支总计各增加</w:t>
      </w:r>
      <w:r>
        <w:rPr>
          <w:rFonts w:hint="eastAsia"/>
        </w:rPr>
        <w:t>2,156.78</w:t>
      </w:r>
      <w:r>
        <w:rPr>
          <w:rFonts w:hint="eastAsia"/>
        </w:rPr>
        <w:t>万元，增长</w:t>
      </w:r>
      <w:r>
        <w:rPr>
          <w:rFonts w:hint="eastAsia"/>
        </w:rPr>
        <w:t>5.32%</w:t>
      </w:r>
      <w:r>
        <w:rPr>
          <w:rFonts w:hint="eastAsia"/>
        </w:rPr>
        <w:t>。其中：</w:t>
      </w:r>
    </w:p>
    <w:p w:rsidR="00E65B52" w:rsidRDefault="00D033EA" w:rsidP="00273632">
      <w:pPr>
        <w:ind w:firstLine="560"/>
      </w:pPr>
      <w:r>
        <w:rPr>
          <w:rFonts w:hint="eastAsia"/>
        </w:rPr>
        <w:t>（一）收入决算总计</w:t>
      </w:r>
      <w:r>
        <w:rPr>
          <w:rFonts w:hint="eastAsia"/>
        </w:rPr>
        <w:t>42,669.94</w:t>
      </w:r>
      <w:r>
        <w:rPr>
          <w:rFonts w:hint="eastAsia"/>
        </w:rPr>
        <w:t>万元。包括：</w:t>
      </w:r>
    </w:p>
    <w:p w:rsidR="00E65B52" w:rsidRDefault="00D033EA" w:rsidP="00273632">
      <w:pPr>
        <w:ind w:firstLine="560"/>
      </w:pPr>
      <w:r>
        <w:rPr>
          <w:rFonts w:hint="eastAsia"/>
        </w:rPr>
        <w:t>1.</w:t>
      </w:r>
      <w:r>
        <w:rPr>
          <w:rFonts w:hint="eastAsia"/>
        </w:rPr>
        <w:t>本年收入决算合计</w:t>
      </w:r>
      <w:r>
        <w:rPr>
          <w:rFonts w:hint="eastAsia"/>
        </w:rPr>
        <w:t>42,220.54</w:t>
      </w:r>
      <w:r>
        <w:rPr>
          <w:rFonts w:hint="eastAsia"/>
        </w:rPr>
        <w:t>万元。与上年相比，增加</w:t>
      </w:r>
      <w:r>
        <w:rPr>
          <w:rFonts w:hint="eastAsia"/>
        </w:rPr>
        <w:t>7,702.09</w:t>
      </w:r>
      <w:r>
        <w:rPr>
          <w:rFonts w:hint="eastAsia"/>
        </w:rPr>
        <w:t>万元，增长</w:t>
      </w:r>
      <w:r>
        <w:rPr>
          <w:rFonts w:hint="eastAsia"/>
        </w:rPr>
        <w:t>22.31%</w:t>
      </w:r>
      <w:r>
        <w:rPr>
          <w:rFonts w:hint="eastAsia"/>
        </w:rPr>
        <w:t>，变动原因：主要是</w:t>
      </w:r>
      <w:r>
        <w:rPr>
          <w:rFonts w:hint="eastAsia"/>
        </w:rPr>
        <w:t>2021</w:t>
      </w:r>
      <w:r>
        <w:rPr>
          <w:rFonts w:hint="eastAsia"/>
        </w:rPr>
        <w:t>年城市基础设施配套费收入的增加。</w:t>
      </w:r>
    </w:p>
    <w:p w:rsidR="00E65B52" w:rsidRDefault="00D033EA" w:rsidP="00273632">
      <w:pPr>
        <w:ind w:firstLine="560"/>
      </w:pPr>
      <w:r>
        <w:rPr>
          <w:rFonts w:hint="eastAsia"/>
        </w:rPr>
        <w:t>2.</w:t>
      </w:r>
      <w:r>
        <w:rPr>
          <w:rFonts w:hint="eastAsia"/>
        </w:rPr>
        <w:t>使用非财政拨款结余</w:t>
      </w:r>
      <w:r>
        <w:rPr>
          <w:rFonts w:hint="eastAsia"/>
        </w:rPr>
        <w:t>0</w:t>
      </w:r>
      <w:r>
        <w:rPr>
          <w:rFonts w:hint="eastAsia"/>
        </w:rPr>
        <w:t>万元。与上年决算数相同。</w:t>
      </w:r>
    </w:p>
    <w:p w:rsidR="00E65B52" w:rsidRDefault="00D033EA" w:rsidP="00273632">
      <w:pPr>
        <w:ind w:firstLine="560"/>
      </w:pPr>
      <w:r>
        <w:rPr>
          <w:rFonts w:hint="eastAsia"/>
        </w:rPr>
        <w:t>3.</w:t>
      </w:r>
      <w:r>
        <w:rPr>
          <w:rFonts w:hint="eastAsia"/>
        </w:rPr>
        <w:t>年初结转和结余</w:t>
      </w:r>
      <w:r>
        <w:rPr>
          <w:rFonts w:hint="eastAsia"/>
        </w:rPr>
        <w:t>449.4</w:t>
      </w:r>
      <w:r>
        <w:rPr>
          <w:rFonts w:hint="eastAsia"/>
        </w:rPr>
        <w:t>万元。与上年相比，减少</w:t>
      </w:r>
      <w:r>
        <w:rPr>
          <w:rFonts w:hint="eastAsia"/>
        </w:rPr>
        <w:t>5,545.3</w:t>
      </w:r>
      <w:r>
        <w:rPr>
          <w:rFonts w:hint="eastAsia"/>
        </w:rPr>
        <w:t>万元，减少</w:t>
      </w:r>
      <w:r>
        <w:rPr>
          <w:rFonts w:hint="eastAsia"/>
        </w:rPr>
        <w:t>92.5%</w:t>
      </w:r>
      <w:r>
        <w:rPr>
          <w:rFonts w:hint="eastAsia"/>
        </w:rPr>
        <w:t>，变动原因：上年的年初结转结余是</w:t>
      </w:r>
      <w:r>
        <w:rPr>
          <w:rFonts w:hint="eastAsia"/>
        </w:rPr>
        <w:t>2019</w:t>
      </w:r>
      <w:r>
        <w:rPr>
          <w:rFonts w:hint="eastAsia"/>
        </w:rPr>
        <w:t>年或以前年度预算安排的城市基础设施建设等项目无法按原计划实施，需要延迟到以后年度按有关规定使用的资金。</w:t>
      </w:r>
    </w:p>
    <w:p w:rsidR="00E65B52" w:rsidRDefault="00D033EA" w:rsidP="00273632">
      <w:pPr>
        <w:ind w:firstLine="560"/>
      </w:pPr>
      <w:r>
        <w:rPr>
          <w:rFonts w:hint="eastAsia"/>
        </w:rPr>
        <w:t>（二）支出决算总计</w:t>
      </w:r>
      <w:r>
        <w:rPr>
          <w:rFonts w:hint="eastAsia"/>
        </w:rPr>
        <w:t>42,669.94</w:t>
      </w:r>
      <w:r>
        <w:rPr>
          <w:rFonts w:hint="eastAsia"/>
        </w:rPr>
        <w:t>万元。包括：</w:t>
      </w:r>
    </w:p>
    <w:p w:rsidR="00E65B52" w:rsidRDefault="00D033EA" w:rsidP="00273632">
      <w:pPr>
        <w:ind w:firstLine="560"/>
      </w:pPr>
      <w:r>
        <w:rPr>
          <w:rFonts w:hint="eastAsia"/>
        </w:rPr>
        <w:t>1.</w:t>
      </w:r>
      <w:r>
        <w:rPr>
          <w:rFonts w:hint="eastAsia"/>
        </w:rPr>
        <w:t>本年支出决算合计</w:t>
      </w:r>
      <w:r>
        <w:rPr>
          <w:rFonts w:hint="eastAsia"/>
        </w:rPr>
        <w:t>42,525.57</w:t>
      </w:r>
      <w:r>
        <w:rPr>
          <w:rFonts w:hint="eastAsia"/>
        </w:rPr>
        <w:t>万元。与上年相比，增加</w:t>
      </w:r>
      <w:r>
        <w:rPr>
          <w:rFonts w:hint="eastAsia"/>
        </w:rPr>
        <w:t>2,423.16</w:t>
      </w:r>
      <w:r>
        <w:rPr>
          <w:rFonts w:hint="eastAsia"/>
        </w:rPr>
        <w:t>万元，增长</w:t>
      </w:r>
      <w:r>
        <w:rPr>
          <w:rFonts w:hint="eastAsia"/>
        </w:rPr>
        <w:t>6.04%</w:t>
      </w:r>
      <w:r>
        <w:rPr>
          <w:rFonts w:hint="eastAsia"/>
        </w:rPr>
        <w:t>，变动原因：主要是人才购房券发放兑付补贴等支出的增加。</w:t>
      </w:r>
    </w:p>
    <w:p w:rsidR="00E65B52" w:rsidRDefault="00D033EA" w:rsidP="00273632">
      <w:pPr>
        <w:ind w:firstLine="560"/>
      </w:pPr>
      <w:r>
        <w:rPr>
          <w:rFonts w:hint="eastAsia"/>
        </w:rPr>
        <w:t>2.</w:t>
      </w:r>
      <w:r>
        <w:rPr>
          <w:rFonts w:hint="eastAsia"/>
        </w:rPr>
        <w:t>结余分配</w:t>
      </w:r>
      <w:r>
        <w:rPr>
          <w:rFonts w:hint="eastAsia"/>
        </w:rPr>
        <w:t>0</w:t>
      </w:r>
      <w:r>
        <w:rPr>
          <w:rFonts w:hint="eastAsia"/>
        </w:rPr>
        <w:t>万元。与上年决算数相同。</w:t>
      </w:r>
    </w:p>
    <w:p w:rsidR="00E65B52" w:rsidRDefault="00D033EA" w:rsidP="00273632">
      <w:pPr>
        <w:ind w:firstLine="560"/>
      </w:pPr>
      <w:r>
        <w:rPr>
          <w:rFonts w:hint="eastAsia"/>
        </w:rPr>
        <w:t>3.</w:t>
      </w:r>
      <w:r>
        <w:rPr>
          <w:rFonts w:hint="eastAsia"/>
        </w:rPr>
        <w:t>年末结转和结余</w:t>
      </w:r>
      <w:r>
        <w:rPr>
          <w:rFonts w:hint="eastAsia"/>
        </w:rPr>
        <w:t>144.38</w:t>
      </w:r>
      <w:r>
        <w:rPr>
          <w:rFonts w:hint="eastAsia"/>
        </w:rPr>
        <w:t>万元。结转和结余事项：主要是人民防空、其他城乡社区管理等结转结余资金。与上年相比，减少</w:t>
      </w:r>
      <w:r>
        <w:rPr>
          <w:rFonts w:hint="eastAsia"/>
        </w:rPr>
        <w:t>266.36</w:t>
      </w:r>
      <w:r>
        <w:rPr>
          <w:rFonts w:hint="eastAsia"/>
        </w:rPr>
        <w:t>万元，减少</w:t>
      </w:r>
      <w:r>
        <w:rPr>
          <w:rFonts w:hint="eastAsia"/>
        </w:rPr>
        <w:t>64.85%</w:t>
      </w:r>
      <w:r>
        <w:rPr>
          <w:rFonts w:hint="eastAsia"/>
        </w:rPr>
        <w:t>，变动原因：需要延迟到以后年度按有关规定使用的资金的减少。</w:t>
      </w:r>
    </w:p>
    <w:p w:rsidR="00E65B52" w:rsidRDefault="00D033EA">
      <w:pPr>
        <w:pStyle w:val="2"/>
        <w:ind w:firstLine="643"/>
      </w:pPr>
      <w:bookmarkStart w:id="4" w:name="_Toc21019"/>
      <w:bookmarkStart w:id="5" w:name="_Toc6798"/>
      <w:r>
        <w:rPr>
          <w:rFonts w:hint="eastAsia"/>
        </w:rPr>
        <w:lastRenderedPageBreak/>
        <w:t>1.3</w:t>
      </w:r>
      <w:r>
        <w:rPr>
          <w:rFonts w:hint="eastAsia"/>
        </w:rPr>
        <w:t>、部门项目实施情况</w:t>
      </w:r>
      <w:bookmarkEnd w:id="4"/>
      <w:bookmarkEnd w:id="5"/>
    </w:p>
    <w:p w:rsidR="00E65B52" w:rsidRDefault="00D033EA" w:rsidP="00273632">
      <w:pPr>
        <w:ind w:firstLine="560"/>
      </w:pPr>
      <w:r>
        <w:rPr>
          <w:rFonts w:hint="eastAsia"/>
        </w:rPr>
        <w:t>今年以来，全市城建项目推进呈现稳中有进态势。预计到年底，全市完成投资</w:t>
      </w:r>
      <w:r>
        <w:rPr>
          <w:rFonts w:hint="eastAsia"/>
        </w:rPr>
        <w:t>900</w:t>
      </w:r>
      <w:r>
        <w:rPr>
          <w:rFonts w:hint="eastAsia"/>
        </w:rPr>
        <w:t>亿元，占年度计划的</w:t>
      </w:r>
      <w:r>
        <w:rPr>
          <w:rFonts w:hint="eastAsia"/>
        </w:rPr>
        <w:t>94.2%</w:t>
      </w:r>
      <w:r>
        <w:rPr>
          <w:rFonts w:hint="eastAsia"/>
        </w:rPr>
        <w:t>。</w:t>
      </w:r>
    </w:p>
    <w:p w:rsidR="00E65B52" w:rsidRDefault="00D033EA" w:rsidP="00273632">
      <w:pPr>
        <w:ind w:firstLine="560"/>
      </w:pPr>
      <w:r>
        <w:rPr>
          <w:rFonts w:hint="eastAsia"/>
        </w:rPr>
        <w:t>（一）城市生态景观品质显著改善。纵深推进实施“生态园林城市”创建行动，全市新增绿地</w:t>
      </w:r>
      <w:r>
        <w:rPr>
          <w:rFonts w:hint="eastAsia"/>
        </w:rPr>
        <w:t>380</w:t>
      </w:r>
      <w:r>
        <w:rPr>
          <w:rFonts w:hint="eastAsia"/>
        </w:rPr>
        <w:t>公顷，市区建成区绿地面积</w:t>
      </w:r>
      <w:r>
        <w:rPr>
          <w:rFonts w:hint="eastAsia"/>
        </w:rPr>
        <w:t>8679</w:t>
      </w:r>
      <w:r>
        <w:rPr>
          <w:rFonts w:hint="eastAsia"/>
        </w:rPr>
        <w:t>公顷，绿地率达</w:t>
      </w:r>
      <w:r>
        <w:rPr>
          <w:rFonts w:hint="eastAsia"/>
        </w:rPr>
        <w:t>38.57%</w:t>
      </w:r>
      <w:r>
        <w:rPr>
          <w:rFonts w:hint="eastAsia"/>
        </w:rPr>
        <w:t>，公园绿地十分钟服务圈覆盖率</w:t>
      </w:r>
      <w:r>
        <w:rPr>
          <w:rFonts w:hint="eastAsia"/>
        </w:rPr>
        <w:t>87%</w:t>
      </w:r>
      <w:r>
        <w:rPr>
          <w:rFonts w:hint="eastAsia"/>
        </w:rPr>
        <w:t>。人均公园绿地面积达</w:t>
      </w:r>
      <w:r>
        <w:rPr>
          <w:rFonts w:hint="eastAsia"/>
        </w:rPr>
        <w:t>15.13</w:t>
      </w:r>
      <w:r>
        <w:rPr>
          <w:rFonts w:hint="eastAsia"/>
        </w:rPr>
        <w:t>平方米</w:t>
      </w:r>
      <w:r>
        <w:rPr>
          <w:rFonts w:hint="eastAsia"/>
        </w:rPr>
        <w:t>/</w:t>
      </w:r>
      <w:r>
        <w:rPr>
          <w:rFonts w:hint="eastAsia"/>
        </w:rPr>
        <w:t>人。公园免费开放率达</w:t>
      </w:r>
      <w:r>
        <w:rPr>
          <w:rFonts w:hint="eastAsia"/>
        </w:rPr>
        <w:t>100%</w:t>
      </w:r>
      <w:r>
        <w:rPr>
          <w:rFonts w:hint="eastAsia"/>
        </w:rPr>
        <w:t>，刘志洲公园、和安湖湿地公园等</w:t>
      </w:r>
      <w:r>
        <w:rPr>
          <w:rFonts w:hint="eastAsia"/>
        </w:rPr>
        <w:t>6</w:t>
      </w:r>
      <w:r>
        <w:rPr>
          <w:rFonts w:hint="eastAsia"/>
        </w:rPr>
        <w:t>个公园建成开放，园博园、赣榆白鹭园等有序实施，</w:t>
      </w:r>
      <w:r>
        <w:rPr>
          <w:rFonts w:hint="eastAsia"/>
        </w:rPr>
        <w:t>6</w:t>
      </w:r>
      <w:r>
        <w:rPr>
          <w:rFonts w:hint="eastAsia"/>
        </w:rPr>
        <w:t>个综合公园提升为健康主题公园。建成关庙巷游园等“口袋公园”</w:t>
      </w:r>
      <w:r>
        <w:rPr>
          <w:rFonts w:hint="eastAsia"/>
        </w:rPr>
        <w:t>18</w:t>
      </w:r>
      <w:r>
        <w:rPr>
          <w:rFonts w:hint="eastAsia"/>
        </w:rPr>
        <w:t>处，超额完成年度目标。灌南县盐河片区公园绿地体系化建设项目获批</w:t>
      </w:r>
      <w:r>
        <w:rPr>
          <w:rFonts w:hint="eastAsia"/>
        </w:rPr>
        <w:t>2021</w:t>
      </w:r>
      <w:r>
        <w:rPr>
          <w:rFonts w:hint="eastAsia"/>
        </w:rPr>
        <w:t>年江苏省园林绿化示范项目（全省仅</w:t>
      </w:r>
      <w:r>
        <w:rPr>
          <w:rFonts w:hint="eastAsia"/>
        </w:rPr>
        <w:t>10</w:t>
      </w:r>
      <w:r>
        <w:rPr>
          <w:rFonts w:hint="eastAsia"/>
        </w:rPr>
        <w:t>项）。</w:t>
      </w:r>
    </w:p>
    <w:p w:rsidR="00E65B52" w:rsidRDefault="00D033EA" w:rsidP="00273632">
      <w:pPr>
        <w:ind w:firstLine="560"/>
      </w:pPr>
      <w:r>
        <w:rPr>
          <w:rFonts w:hint="eastAsia"/>
        </w:rPr>
        <w:t>（二）城区配套功能设施加快提升。机场大道、松竹路等</w:t>
      </w:r>
      <w:r>
        <w:rPr>
          <w:rFonts w:hint="eastAsia"/>
        </w:rPr>
        <w:t>40</w:t>
      </w:r>
      <w:r>
        <w:rPr>
          <w:rFonts w:hint="eastAsia"/>
        </w:rPr>
        <w:t>条道路开工建设，海州海青路改建、赣榆深圳路改造等</w:t>
      </w:r>
      <w:r>
        <w:rPr>
          <w:rFonts w:hint="eastAsia"/>
        </w:rPr>
        <w:t>24</w:t>
      </w:r>
      <w:r>
        <w:rPr>
          <w:rFonts w:hint="eastAsia"/>
        </w:rPr>
        <w:t>条道路竣工通车，整治背街小巷</w:t>
      </w:r>
      <w:r>
        <w:rPr>
          <w:rFonts w:hint="eastAsia"/>
        </w:rPr>
        <w:t>10</w:t>
      </w:r>
      <w:r>
        <w:rPr>
          <w:rFonts w:hint="eastAsia"/>
        </w:rPr>
        <w:t>条。茅口水厂、赣榆塔山水厂、城西水厂和城南水厂深度处理工程有序推进。大浦工业区、东海西湖、浦南等</w:t>
      </w:r>
      <w:r>
        <w:rPr>
          <w:rFonts w:hint="eastAsia"/>
        </w:rPr>
        <w:t>3</w:t>
      </w:r>
      <w:r>
        <w:rPr>
          <w:rFonts w:hint="eastAsia"/>
        </w:rPr>
        <w:t>座污水处理厂扩建工程预计年底投产运行，墟沟污水处理厂完成生物池主体建设。更新燃气老旧管网</w:t>
      </w:r>
      <w:r>
        <w:rPr>
          <w:rFonts w:hint="eastAsia"/>
        </w:rPr>
        <w:t>57.55</w:t>
      </w:r>
      <w:r>
        <w:rPr>
          <w:rFonts w:hint="eastAsia"/>
        </w:rPr>
        <w:t>公里。污水处理提质增效达标区建设加快推进，全市污水直排口基本消除，排查城市建成区污水管网</w:t>
      </w:r>
      <w:r>
        <w:rPr>
          <w:rFonts w:hint="eastAsia"/>
        </w:rPr>
        <w:t>282</w:t>
      </w:r>
      <w:r>
        <w:rPr>
          <w:rFonts w:hint="eastAsia"/>
        </w:rPr>
        <w:t>公里，建成污水管网</w:t>
      </w:r>
      <w:r>
        <w:rPr>
          <w:rFonts w:hint="eastAsia"/>
        </w:rPr>
        <w:t>95</w:t>
      </w:r>
      <w:r>
        <w:rPr>
          <w:rFonts w:hint="eastAsia"/>
        </w:rPr>
        <w:t>公里，消除污水管网空白区</w:t>
      </w:r>
      <w:r>
        <w:rPr>
          <w:rFonts w:hint="eastAsia"/>
        </w:rPr>
        <w:t>12</w:t>
      </w:r>
      <w:r>
        <w:rPr>
          <w:rFonts w:hint="eastAsia"/>
        </w:rPr>
        <w:t>平方公里，年底城市建成区</w:t>
      </w:r>
      <w:r>
        <w:rPr>
          <w:rFonts w:hint="eastAsia"/>
        </w:rPr>
        <w:t>30%</w:t>
      </w:r>
      <w:r>
        <w:rPr>
          <w:rFonts w:hint="eastAsia"/>
        </w:rPr>
        <w:t>以上面积建成污水处理提质增效达标区。</w:t>
      </w:r>
    </w:p>
    <w:p w:rsidR="00E65B52" w:rsidRDefault="00D033EA" w:rsidP="00273632">
      <w:pPr>
        <w:ind w:firstLine="560"/>
      </w:pPr>
      <w:r>
        <w:rPr>
          <w:rFonts w:hint="eastAsia"/>
        </w:rPr>
        <w:t>（三）人民群众居住环境持续优化。加快推进城市更新行动，老旧小区改造涉及小区总建筑面积近</w:t>
      </w:r>
      <w:r>
        <w:rPr>
          <w:rFonts w:hint="eastAsia"/>
        </w:rPr>
        <w:t>364.59</w:t>
      </w:r>
      <w:r>
        <w:rPr>
          <w:rFonts w:hint="eastAsia"/>
        </w:rPr>
        <w:t>万平方米，惠及</w:t>
      </w:r>
      <w:r>
        <w:rPr>
          <w:rFonts w:hint="eastAsia"/>
        </w:rPr>
        <w:t>3.9</w:t>
      </w:r>
      <w:r>
        <w:rPr>
          <w:rFonts w:hint="eastAsia"/>
        </w:rPr>
        <w:t>万户业</w:t>
      </w:r>
      <w:r>
        <w:rPr>
          <w:rFonts w:hint="eastAsia"/>
        </w:rPr>
        <w:lastRenderedPageBreak/>
        <w:t>主，年底完成老旧小区改造项目</w:t>
      </w:r>
      <w:r>
        <w:rPr>
          <w:rFonts w:hint="eastAsia"/>
        </w:rPr>
        <w:t>150</w:t>
      </w:r>
      <w:r>
        <w:rPr>
          <w:rFonts w:hint="eastAsia"/>
        </w:rPr>
        <w:t>个，改造规模位列全省第一方阵。老旧小区加装电梯</w:t>
      </w:r>
      <w:r>
        <w:rPr>
          <w:rFonts w:hint="eastAsia"/>
        </w:rPr>
        <w:t>24</w:t>
      </w:r>
      <w:r>
        <w:rPr>
          <w:rFonts w:hint="eastAsia"/>
        </w:rPr>
        <w:t>部，预计年底完成</w:t>
      </w:r>
      <w:r>
        <w:rPr>
          <w:rFonts w:hint="eastAsia"/>
        </w:rPr>
        <w:t>26</w:t>
      </w:r>
      <w:r>
        <w:rPr>
          <w:rFonts w:hint="eastAsia"/>
        </w:rPr>
        <w:t>部。连云港站北片区等区域</w:t>
      </w:r>
      <w:r>
        <w:rPr>
          <w:rFonts w:hint="eastAsia"/>
        </w:rPr>
        <w:t>11</w:t>
      </w:r>
      <w:r>
        <w:rPr>
          <w:rFonts w:hint="eastAsia"/>
        </w:rPr>
        <w:t>个棚改项目稳步推进，棚改新开工</w:t>
      </w:r>
      <w:r>
        <w:rPr>
          <w:rFonts w:hint="eastAsia"/>
        </w:rPr>
        <w:t>6876</w:t>
      </w:r>
      <w:r>
        <w:rPr>
          <w:rFonts w:hint="eastAsia"/>
        </w:rPr>
        <w:t>套、基本建成</w:t>
      </w:r>
      <w:r>
        <w:rPr>
          <w:rFonts w:hint="eastAsia"/>
        </w:rPr>
        <w:t>7846</w:t>
      </w:r>
      <w:r>
        <w:rPr>
          <w:rFonts w:hint="eastAsia"/>
        </w:rPr>
        <w:t>套，分别完成年度目标任务的</w:t>
      </w:r>
      <w:r>
        <w:rPr>
          <w:rFonts w:hint="eastAsia"/>
        </w:rPr>
        <w:t>152.80%</w:t>
      </w:r>
      <w:r>
        <w:rPr>
          <w:rFonts w:hint="eastAsia"/>
        </w:rPr>
        <w:t>、</w:t>
      </w:r>
      <w:r>
        <w:rPr>
          <w:rFonts w:hint="eastAsia"/>
        </w:rPr>
        <w:t>283.25%</w:t>
      </w:r>
      <w:r>
        <w:rPr>
          <w:rFonts w:hint="eastAsia"/>
        </w:rPr>
        <w:t>，均超额完成省定任务。排查既有建筑</w:t>
      </w:r>
      <w:r>
        <w:rPr>
          <w:rFonts w:hint="eastAsia"/>
        </w:rPr>
        <w:t>96340</w:t>
      </w:r>
      <w:r>
        <w:rPr>
          <w:rFonts w:hint="eastAsia"/>
        </w:rPr>
        <w:t>栋，</w:t>
      </w:r>
      <w:r>
        <w:rPr>
          <w:rFonts w:hint="eastAsia"/>
        </w:rPr>
        <w:t>1.72</w:t>
      </w:r>
      <w:r>
        <w:rPr>
          <w:rFonts w:hint="eastAsia"/>
        </w:rPr>
        <w:t>亿平方米，整治维修加固城镇危旧房屋</w:t>
      </w:r>
      <w:r>
        <w:rPr>
          <w:rFonts w:hint="eastAsia"/>
        </w:rPr>
        <w:t>4.03</w:t>
      </w:r>
      <w:r>
        <w:rPr>
          <w:rFonts w:hint="eastAsia"/>
        </w:rPr>
        <w:t>万平方米。解决</w:t>
      </w:r>
      <w:r>
        <w:rPr>
          <w:rFonts w:hint="eastAsia"/>
        </w:rPr>
        <w:t>1793</w:t>
      </w:r>
      <w:r>
        <w:rPr>
          <w:rFonts w:hint="eastAsia"/>
        </w:rPr>
        <w:t>户低收入家庭安居问题，完成目标的</w:t>
      </w:r>
      <w:r>
        <w:rPr>
          <w:rFonts w:hint="eastAsia"/>
        </w:rPr>
        <w:t>179%</w:t>
      </w:r>
      <w:r>
        <w:rPr>
          <w:rFonts w:hint="eastAsia"/>
        </w:rPr>
        <w:t>。全市</w:t>
      </w:r>
      <w:r>
        <w:rPr>
          <w:rFonts w:hint="eastAsia"/>
        </w:rPr>
        <w:t>20</w:t>
      </w:r>
      <w:r>
        <w:rPr>
          <w:rFonts w:hint="eastAsia"/>
        </w:rPr>
        <w:t>个物管项目获得省级示范表彰，整体数量位列全省第四，苏北第一。新建防灾避难场所</w:t>
      </w:r>
      <w:r>
        <w:rPr>
          <w:rFonts w:hint="eastAsia"/>
        </w:rPr>
        <w:t>5</w:t>
      </w:r>
      <w:r>
        <w:rPr>
          <w:rFonts w:hint="eastAsia"/>
        </w:rPr>
        <w:t>个，全市建成防灾避难场所</w:t>
      </w:r>
      <w:r>
        <w:rPr>
          <w:rFonts w:hint="eastAsia"/>
        </w:rPr>
        <w:t>21</w:t>
      </w:r>
      <w:r>
        <w:rPr>
          <w:rFonts w:hint="eastAsia"/>
        </w:rPr>
        <w:t>个。</w:t>
      </w:r>
    </w:p>
    <w:p w:rsidR="00E65B52" w:rsidRDefault="00D033EA" w:rsidP="00273632">
      <w:pPr>
        <w:ind w:firstLine="560"/>
      </w:pPr>
      <w:r>
        <w:rPr>
          <w:rFonts w:hint="eastAsia"/>
        </w:rPr>
        <w:t>（四）乡村振兴建设取得扎实成效。坚持将美丽宜居乡村与农房改善项目、特色田园乡村示范片区等建设有机融合，全市改善农户</w:t>
      </w:r>
      <w:r>
        <w:rPr>
          <w:rFonts w:hint="eastAsia"/>
        </w:rPr>
        <w:t>4.97</w:t>
      </w:r>
      <w:r>
        <w:rPr>
          <w:rFonts w:hint="eastAsia"/>
        </w:rPr>
        <w:t>万户，超额完成省定“</w:t>
      </w:r>
      <w:r>
        <w:rPr>
          <w:rFonts w:hint="eastAsia"/>
        </w:rPr>
        <w:t>3</w:t>
      </w:r>
      <w:r>
        <w:rPr>
          <w:rFonts w:hint="eastAsia"/>
        </w:rPr>
        <w:t>年</w:t>
      </w:r>
      <w:r>
        <w:rPr>
          <w:rFonts w:hint="eastAsia"/>
        </w:rPr>
        <w:t>4.5</w:t>
      </w:r>
      <w:r>
        <w:rPr>
          <w:rFonts w:hint="eastAsia"/>
        </w:rPr>
        <w:t>万户”目标任务。全市新增美丽宜居乡村</w:t>
      </w:r>
      <w:r>
        <w:rPr>
          <w:rFonts w:hint="eastAsia"/>
        </w:rPr>
        <w:t>426</w:t>
      </w:r>
      <w:r>
        <w:rPr>
          <w:rFonts w:hint="eastAsia"/>
        </w:rPr>
        <w:t>个，全市累计建设</w:t>
      </w:r>
      <w:r>
        <w:rPr>
          <w:rFonts w:hint="eastAsia"/>
        </w:rPr>
        <w:t>1035</w:t>
      </w:r>
      <w:r>
        <w:rPr>
          <w:rFonts w:hint="eastAsia"/>
        </w:rPr>
        <w:t>个美丽宜居乡村，建成率</w:t>
      </w:r>
      <w:r>
        <w:rPr>
          <w:rFonts w:hint="eastAsia"/>
        </w:rPr>
        <w:t>62.2%</w:t>
      </w:r>
      <w:r>
        <w:rPr>
          <w:rFonts w:hint="eastAsia"/>
        </w:rPr>
        <w:t>。创建省级特色田园乡村</w:t>
      </w:r>
      <w:r>
        <w:rPr>
          <w:rFonts w:hint="eastAsia"/>
        </w:rPr>
        <w:t>5</w:t>
      </w:r>
      <w:r>
        <w:rPr>
          <w:rFonts w:hint="eastAsia"/>
        </w:rPr>
        <w:t>个，累计创建达</w:t>
      </w:r>
      <w:r>
        <w:rPr>
          <w:rFonts w:hint="eastAsia"/>
        </w:rPr>
        <w:t>23</w:t>
      </w:r>
      <w:r>
        <w:rPr>
          <w:rFonts w:hint="eastAsia"/>
        </w:rPr>
        <w:t>个，市级特色田园乡村</w:t>
      </w:r>
      <w:r>
        <w:rPr>
          <w:rFonts w:hint="eastAsia"/>
        </w:rPr>
        <w:t>30</w:t>
      </w:r>
      <w:r>
        <w:rPr>
          <w:rFonts w:hint="eastAsia"/>
        </w:rPr>
        <w:t>个。排查农村房屋</w:t>
      </w:r>
      <w:r>
        <w:rPr>
          <w:rFonts w:hint="eastAsia"/>
        </w:rPr>
        <w:t>969843</w:t>
      </w:r>
      <w:r>
        <w:rPr>
          <w:rFonts w:hint="eastAsia"/>
        </w:rPr>
        <w:t>户，鉴定并整治</w:t>
      </w:r>
      <w:r>
        <w:rPr>
          <w:rFonts w:hint="eastAsia"/>
        </w:rPr>
        <w:t>C</w:t>
      </w:r>
      <w:r>
        <w:rPr>
          <w:rFonts w:hint="eastAsia"/>
        </w:rPr>
        <w:t>、</w:t>
      </w:r>
      <w:r>
        <w:rPr>
          <w:rFonts w:hint="eastAsia"/>
        </w:rPr>
        <w:t>D</w:t>
      </w:r>
      <w:r>
        <w:rPr>
          <w:rFonts w:hint="eastAsia"/>
        </w:rPr>
        <w:t>级农村自建房</w:t>
      </w:r>
      <w:r>
        <w:rPr>
          <w:rFonts w:hint="eastAsia"/>
        </w:rPr>
        <w:t>131</w:t>
      </w:r>
      <w:r>
        <w:rPr>
          <w:rFonts w:hint="eastAsia"/>
        </w:rPr>
        <w:t>户。</w:t>
      </w:r>
    </w:p>
    <w:p w:rsidR="00E65B52" w:rsidRDefault="00D033EA" w:rsidP="00273632">
      <w:pPr>
        <w:ind w:firstLine="560"/>
      </w:pPr>
      <w:r>
        <w:rPr>
          <w:rFonts w:hint="eastAsia"/>
        </w:rPr>
        <w:t>（五）建筑产业经济得到健康发展。全市完成建筑业总产值</w:t>
      </w:r>
      <w:r>
        <w:rPr>
          <w:rFonts w:hint="eastAsia"/>
        </w:rPr>
        <w:t>395.91</w:t>
      </w:r>
      <w:r>
        <w:rPr>
          <w:rFonts w:hint="eastAsia"/>
        </w:rPr>
        <w:t>亿元，增速</w:t>
      </w:r>
      <w:r>
        <w:rPr>
          <w:rFonts w:hint="eastAsia"/>
        </w:rPr>
        <w:t>18.01%</w:t>
      </w:r>
      <w:r>
        <w:rPr>
          <w:rFonts w:hint="eastAsia"/>
        </w:rPr>
        <w:t>，增速位居全省第一，预计到年底总产值达</w:t>
      </w:r>
      <w:r>
        <w:rPr>
          <w:rFonts w:hint="eastAsia"/>
        </w:rPr>
        <w:t>601.9</w:t>
      </w:r>
      <w:r>
        <w:rPr>
          <w:rFonts w:hint="eastAsia"/>
        </w:rPr>
        <w:t>亿元，同比去年增长</w:t>
      </w:r>
      <w:r>
        <w:rPr>
          <w:rFonts w:hint="eastAsia"/>
        </w:rPr>
        <w:t>10%</w:t>
      </w:r>
      <w:r>
        <w:rPr>
          <w:rFonts w:hint="eastAsia"/>
        </w:rPr>
        <w:t>。全市新开工装配式建筑项目面积</w:t>
      </w:r>
      <w:r>
        <w:rPr>
          <w:rFonts w:hint="eastAsia"/>
        </w:rPr>
        <w:t>270</w:t>
      </w:r>
      <w:r>
        <w:rPr>
          <w:rFonts w:hint="eastAsia"/>
        </w:rPr>
        <w:t>万平方米。全市新增绿色建筑面积</w:t>
      </w:r>
      <w:r>
        <w:rPr>
          <w:rFonts w:hint="eastAsia"/>
        </w:rPr>
        <w:t>580.79</w:t>
      </w:r>
      <w:r>
        <w:rPr>
          <w:rFonts w:hint="eastAsia"/>
        </w:rPr>
        <w:t>万平方米，城镇绿色建筑占新建建筑比例为</w:t>
      </w:r>
      <w:r>
        <w:rPr>
          <w:rFonts w:hint="eastAsia"/>
        </w:rPr>
        <w:t>98.9%</w:t>
      </w:r>
      <w:r>
        <w:rPr>
          <w:rFonts w:hint="eastAsia"/>
        </w:rPr>
        <w:t>，获批省级能效提升示范项目</w:t>
      </w:r>
      <w:r>
        <w:rPr>
          <w:rFonts w:hint="eastAsia"/>
        </w:rPr>
        <w:t>2</w:t>
      </w:r>
      <w:r>
        <w:rPr>
          <w:rFonts w:hint="eastAsia"/>
        </w:rPr>
        <w:t>项，海州区、连云新城绿色建筑示范区完成验收。全市商品房销售面积</w:t>
      </w:r>
      <w:r>
        <w:rPr>
          <w:rFonts w:hint="eastAsia"/>
        </w:rPr>
        <w:t>633.51</w:t>
      </w:r>
      <w:r>
        <w:rPr>
          <w:rFonts w:hint="eastAsia"/>
        </w:rPr>
        <w:t>万平方米，同比增长</w:t>
      </w:r>
      <w:r>
        <w:rPr>
          <w:rFonts w:hint="eastAsia"/>
        </w:rPr>
        <w:t>33.71%</w:t>
      </w:r>
      <w:r>
        <w:rPr>
          <w:rFonts w:hint="eastAsia"/>
        </w:rPr>
        <w:t>，全市库存商品房、商品住宅去化周期</w:t>
      </w:r>
      <w:r>
        <w:rPr>
          <w:rFonts w:hint="eastAsia"/>
        </w:rPr>
        <w:lastRenderedPageBreak/>
        <w:t>分别为</w:t>
      </w:r>
      <w:r>
        <w:rPr>
          <w:rFonts w:hint="eastAsia"/>
        </w:rPr>
        <w:t>17.91</w:t>
      </w:r>
      <w:r>
        <w:rPr>
          <w:rFonts w:hint="eastAsia"/>
        </w:rPr>
        <w:t>、</w:t>
      </w:r>
      <w:r>
        <w:rPr>
          <w:rFonts w:hint="eastAsia"/>
        </w:rPr>
        <w:t>8.70</w:t>
      </w:r>
      <w:r>
        <w:rPr>
          <w:rFonts w:hint="eastAsia"/>
        </w:rPr>
        <w:t>个月，去化周期保持在合理稳定区间。评选“玉女峰杯”优质工程奖</w:t>
      </w:r>
      <w:r>
        <w:rPr>
          <w:rFonts w:hint="eastAsia"/>
        </w:rPr>
        <w:t>81</w:t>
      </w:r>
      <w:r>
        <w:rPr>
          <w:rFonts w:hint="eastAsia"/>
        </w:rPr>
        <w:t>项，推荐省“扬子杯”项目</w:t>
      </w:r>
      <w:r>
        <w:rPr>
          <w:rFonts w:hint="eastAsia"/>
        </w:rPr>
        <w:t>12</w:t>
      </w:r>
      <w:r>
        <w:rPr>
          <w:rFonts w:hint="eastAsia"/>
        </w:rPr>
        <w:t>项。实施“拿地即开工</w:t>
      </w:r>
      <w:r>
        <w:rPr>
          <w:rFonts w:hint="eastAsia"/>
        </w:rPr>
        <w:t>+</w:t>
      </w:r>
      <w:r>
        <w:rPr>
          <w:rFonts w:hint="eastAsia"/>
        </w:rPr>
        <w:t>告知承诺制”审批新模式，工程审批制度改革目前审批时限控制在“</w:t>
      </w:r>
      <w:r>
        <w:rPr>
          <w:rFonts w:hint="eastAsia"/>
        </w:rPr>
        <w:t>5-5-3</w:t>
      </w:r>
      <w:r>
        <w:rPr>
          <w:rFonts w:hint="eastAsia"/>
        </w:rPr>
        <w:t>”，在全省位居第五。成功申报江苏省建筑工程绿色智慧示范片区</w:t>
      </w:r>
      <w:r>
        <w:rPr>
          <w:rFonts w:hint="eastAsia"/>
        </w:rPr>
        <w:t>2</w:t>
      </w:r>
      <w:r>
        <w:rPr>
          <w:rFonts w:hint="eastAsia"/>
        </w:rPr>
        <w:t>个。</w:t>
      </w:r>
    </w:p>
    <w:p w:rsidR="00E65B52" w:rsidRDefault="00D033EA">
      <w:pPr>
        <w:ind w:firstLineChars="0" w:firstLine="0"/>
        <w:outlineLvl w:val="0"/>
        <w:rPr>
          <w:b/>
          <w:kern w:val="44"/>
          <w:sz w:val="32"/>
        </w:rPr>
      </w:pPr>
      <w:r>
        <w:rPr>
          <w:rFonts w:hint="eastAsia"/>
          <w:b/>
          <w:kern w:val="44"/>
          <w:sz w:val="32"/>
        </w:rPr>
        <w:t>2</w:t>
      </w:r>
      <w:r>
        <w:rPr>
          <w:rFonts w:hint="eastAsia"/>
          <w:b/>
          <w:kern w:val="44"/>
          <w:sz w:val="32"/>
        </w:rPr>
        <w:t>、绩效评价概述</w:t>
      </w:r>
    </w:p>
    <w:p w:rsidR="00E65B52" w:rsidRDefault="00D033EA">
      <w:pPr>
        <w:pStyle w:val="2"/>
        <w:ind w:firstLine="643"/>
      </w:pPr>
      <w:bookmarkStart w:id="6" w:name="_Toc21273"/>
      <w:bookmarkStart w:id="7" w:name="_Toc4271"/>
      <w:r>
        <w:rPr>
          <w:rFonts w:hint="eastAsia"/>
        </w:rPr>
        <w:t>2.1</w:t>
      </w:r>
      <w:r>
        <w:rPr>
          <w:rFonts w:hint="eastAsia"/>
        </w:rPr>
        <w:t>、绩效评价目的</w:t>
      </w:r>
    </w:p>
    <w:p w:rsidR="00E65B52" w:rsidRDefault="00D033EA" w:rsidP="00273632">
      <w:pPr>
        <w:ind w:firstLine="560"/>
      </w:pPr>
      <w:r>
        <w:rPr>
          <w:rFonts w:hint="eastAsia"/>
        </w:rPr>
        <w:t>通过对市财政</w:t>
      </w:r>
      <w:r>
        <w:rPr>
          <w:rFonts w:hint="eastAsia"/>
        </w:rPr>
        <w:t>2021</w:t>
      </w:r>
      <w:r>
        <w:rPr>
          <w:rFonts w:hint="eastAsia"/>
        </w:rPr>
        <w:t>年度安排我单位的预算配置、预算资金管理、资产管理、职责履行、履职效益等内容的绩效考评，以达到改进预算管理、优化资源配置、控制节约成本、提高财政资金使用效益、切实提高资金使用效益，为财政部门预算管理提供决策依据。</w:t>
      </w:r>
    </w:p>
    <w:p w:rsidR="00E65B52" w:rsidRDefault="00D033EA">
      <w:pPr>
        <w:pStyle w:val="2"/>
        <w:ind w:firstLine="643"/>
        <w:rPr>
          <w:bCs/>
          <w:szCs w:val="32"/>
        </w:rPr>
      </w:pPr>
      <w:r>
        <w:rPr>
          <w:rFonts w:hint="eastAsia"/>
        </w:rPr>
        <w:t>2.2</w:t>
      </w:r>
      <w:r>
        <w:rPr>
          <w:rFonts w:hint="eastAsia"/>
        </w:rPr>
        <w:t>、绩效评价实施过程</w:t>
      </w:r>
      <w:bookmarkStart w:id="8" w:name="_GoBack"/>
      <w:bookmarkEnd w:id="6"/>
      <w:bookmarkEnd w:id="7"/>
      <w:bookmarkEnd w:id="8"/>
    </w:p>
    <w:p w:rsidR="00E65B52" w:rsidRDefault="00D033EA">
      <w:pPr>
        <w:ind w:firstLine="560"/>
      </w:pPr>
      <w:r>
        <w:rPr>
          <w:rFonts w:hint="eastAsia"/>
        </w:rPr>
        <w:t>1</w:t>
      </w:r>
      <w:r>
        <w:rPr>
          <w:rFonts w:hint="eastAsia"/>
        </w:rPr>
        <w:t>、前期准备。按照市财政局《关于开展</w:t>
      </w:r>
      <w:r>
        <w:rPr>
          <w:rFonts w:hint="eastAsia"/>
        </w:rPr>
        <w:t>2021</w:t>
      </w:r>
      <w:r>
        <w:rPr>
          <w:rFonts w:hint="eastAsia"/>
        </w:rPr>
        <w:t>年度部门整体绩效自评价工作的通知》（连财绩〔</w:t>
      </w:r>
      <w:r>
        <w:rPr>
          <w:rFonts w:hint="eastAsia"/>
        </w:rPr>
        <w:t>2022</w:t>
      </w:r>
      <w:r>
        <w:rPr>
          <w:rFonts w:hint="eastAsia"/>
        </w:rPr>
        <w:t>〕</w:t>
      </w:r>
      <w:r>
        <w:rPr>
          <w:rFonts w:hint="eastAsia"/>
        </w:rPr>
        <w:t>3</w:t>
      </w:r>
      <w:r>
        <w:rPr>
          <w:rFonts w:hint="eastAsia"/>
        </w:rPr>
        <w:t>号）、《连云港市市级财政预算绩效目标管理办法》文件精神，连云港市住房和城乡建设局对绩效评价工作进行了动员部署，成立了整体绩效评价小组，进行任务分工，压实工作责任。要求各处室及相关人员根据通知，全面准备数据资料，组织自查、自评。</w:t>
      </w:r>
    </w:p>
    <w:p w:rsidR="00E65B52" w:rsidRDefault="00D033EA">
      <w:pPr>
        <w:ind w:firstLine="560"/>
      </w:pPr>
      <w:r>
        <w:rPr>
          <w:rFonts w:hint="eastAsia"/>
        </w:rPr>
        <w:t>评价小组收集有关资料后，了解评价内容，分工收集了部门整体绩效立项的文件、项目预算材料、项目工作总结，与相关负责人沟通，完善评价指标体系。</w:t>
      </w:r>
    </w:p>
    <w:p w:rsidR="00E65B52" w:rsidRDefault="00D033EA">
      <w:pPr>
        <w:ind w:firstLine="560"/>
      </w:pPr>
      <w:r>
        <w:rPr>
          <w:rFonts w:hint="eastAsia"/>
        </w:rPr>
        <w:t>2</w:t>
      </w:r>
      <w:r>
        <w:rPr>
          <w:rFonts w:hint="eastAsia"/>
        </w:rPr>
        <w:t>、组织实施。实地采集数据，完善评价基础资料。</w:t>
      </w:r>
    </w:p>
    <w:p w:rsidR="00E65B52" w:rsidRDefault="00D033EA">
      <w:pPr>
        <w:ind w:firstLine="560"/>
      </w:pPr>
      <w:r>
        <w:rPr>
          <w:rFonts w:hint="eastAsia"/>
        </w:rPr>
        <w:lastRenderedPageBreak/>
        <w:t>3</w:t>
      </w:r>
      <w:r>
        <w:rPr>
          <w:rFonts w:hint="eastAsia"/>
        </w:rPr>
        <w:t>、分析评价。汇总分析评价数据，依据制订的评价指标，结合单位数据分布情况，参照标准和打分规则，对项目投入产出绩效进行量化打分。依据评价结论和部门整体立项、执行、管理、资金运用及使用情况，以及投入产出，撰写绩效评价报告，针对存在问题提出改进建议。</w:t>
      </w:r>
    </w:p>
    <w:p w:rsidR="00E65B52" w:rsidRDefault="00D033EA">
      <w:pPr>
        <w:pStyle w:val="2"/>
        <w:ind w:firstLine="643"/>
      </w:pPr>
      <w:bookmarkStart w:id="9" w:name="_Toc6217"/>
      <w:bookmarkStart w:id="10" w:name="_Toc22394"/>
      <w:r>
        <w:rPr>
          <w:rFonts w:hint="eastAsia"/>
        </w:rPr>
        <w:t>2.3</w:t>
      </w:r>
      <w:r>
        <w:rPr>
          <w:rFonts w:hint="eastAsia"/>
        </w:rPr>
        <w:t>、绩效评价的局限性</w:t>
      </w:r>
      <w:bookmarkEnd w:id="9"/>
      <w:bookmarkEnd w:id="10"/>
    </w:p>
    <w:p w:rsidR="00E65B52" w:rsidRDefault="00D033EA" w:rsidP="00273632">
      <w:pPr>
        <w:ind w:firstLine="560"/>
      </w:pPr>
      <w:r>
        <w:rPr>
          <w:rFonts w:hint="eastAsia"/>
        </w:rPr>
        <w:t>部门整体支出绩效评价的可靠性基于相关部门和单位提供资料的全面性和准确性，评价小组尽可能的收集更为全面、有效、准确的文件和数据，本次绩效评价受时间、空间及其他客观因素的限制，评价工作只能在相关部门和单位提供的现有资料的前提下，结合应有的职业判断，尽可能地做出可靠的评价结果。</w:t>
      </w:r>
    </w:p>
    <w:p w:rsidR="00E65B52" w:rsidRDefault="00D033EA">
      <w:pPr>
        <w:pStyle w:val="1"/>
        <w:ind w:firstLine="643"/>
        <w:rPr>
          <w:bCs/>
          <w:szCs w:val="32"/>
        </w:rPr>
      </w:pPr>
      <w:bookmarkStart w:id="11" w:name="_Toc32442"/>
      <w:bookmarkStart w:id="12" w:name="_Toc32302"/>
      <w:r>
        <w:rPr>
          <w:rFonts w:hint="eastAsia"/>
        </w:rPr>
        <w:t>3</w:t>
      </w:r>
      <w:r>
        <w:rPr>
          <w:rFonts w:hint="eastAsia"/>
        </w:rPr>
        <w:t>、部门整体绩效评价分析</w:t>
      </w:r>
      <w:bookmarkEnd w:id="11"/>
      <w:bookmarkEnd w:id="12"/>
    </w:p>
    <w:p w:rsidR="00E65B52" w:rsidRDefault="00D033EA">
      <w:pPr>
        <w:pStyle w:val="2"/>
        <w:ind w:firstLine="643"/>
        <w:rPr>
          <w:szCs w:val="32"/>
        </w:rPr>
      </w:pPr>
      <w:bookmarkStart w:id="13" w:name="_Toc13701"/>
      <w:bookmarkStart w:id="14" w:name="_Toc9044"/>
      <w:r>
        <w:rPr>
          <w:rFonts w:hint="eastAsia"/>
        </w:rPr>
        <w:t>3.1</w:t>
      </w:r>
      <w:r>
        <w:rPr>
          <w:rFonts w:hint="eastAsia"/>
        </w:rPr>
        <w:t>、内部管理</w:t>
      </w:r>
      <w:bookmarkEnd w:id="13"/>
      <w:r>
        <w:rPr>
          <w:rFonts w:hint="eastAsia"/>
        </w:rPr>
        <w:t>（各指标得分情况和绩效分析）</w:t>
      </w:r>
      <w:bookmarkEnd w:id="14"/>
    </w:p>
    <w:p w:rsidR="00E65B52" w:rsidRDefault="00D033EA">
      <w:pPr>
        <w:ind w:firstLine="560"/>
        <w:outlineLvl w:val="2"/>
      </w:pPr>
      <w:r>
        <w:rPr>
          <w:rFonts w:hint="eastAsia"/>
        </w:rPr>
        <w:t>1</w:t>
      </w:r>
      <w:r>
        <w:rPr>
          <w:rFonts w:hint="eastAsia"/>
        </w:rPr>
        <w:t>、决策管理</w:t>
      </w:r>
    </w:p>
    <w:p w:rsidR="00E65B52" w:rsidRDefault="00D033EA">
      <w:pPr>
        <w:ind w:firstLine="560"/>
      </w:pPr>
      <w:r>
        <w:rPr>
          <w:rFonts w:hint="eastAsia"/>
        </w:rPr>
        <w:t>绩效目标内部管理部分综合得分为</w:t>
      </w:r>
      <w:r>
        <w:rPr>
          <w:rFonts w:hint="eastAsia"/>
        </w:rPr>
        <w:t>18.5</w:t>
      </w:r>
      <w:r>
        <w:rPr>
          <w:rFonts w:hint="eastAsia"/>
        </w:rPr>
        <w:t>分；其中决策管理得分为</w:t>
      </w:r>
      <w:r>
        <w:rPr>
          <w:rFonts w:hint="eastAsia"/>
        </w:rPr>
        <w:t xml:space="preserve"> 2</w:t>
      </w:r>
      <w:r>
        <w:rPr>
          <w:rFonts w:hint="eastAsia"/>
        </w:rPr>
        <w:t>分。编制单位中长期计划，严格落实年度工作报告制度，汇总各处室年度工作完成情况和下年工作安排，编制全局年度工作总结和来年工作计划。</w:t>
      </w:r>
    </w:p>
    <w:p w:rsidR="00E65B52" w:rsidRDefault="00D033EA">
      <w:pPr>
        <w:ind w:firstLine="560"/>
        <w:outlineLvl w:val="2"/>
      </w:pPr>
      <w:r>
        <w:rPr>
          <w:rFonts w:hint="eastAsia"/>
        </w:rPr>
        <w:t>2</w:t>
      </w:r>
      <w:r>
        <w:rPr>
          <w:rFonts w:hint="eastAsia"/>
        </w:rPr>
        <w:t>、人员管理</w:t>
      </w:r>
    </w:p>
    <w:p w:rsidR="00E65B52" w:rsidRDefault="00D033EA">
      <w:pPr>
        <w:ind w:firstLine="560"/>
      </w:pPr>
      <w:r>
        <w:rPr>
          <w:rFonts w:hint="eastAsia"/>
        </w:rPr>
        <w:t>绩</w:t>
      </w:r>
      <w:r>
        <w:rPr>
          <w:rFonts w:ascii="宋体" w:hAnsi="宋体" w:cs="宋体" w:hint="eastAsia"/>
        </w:rPr>
        <w:t>效目标内部管理部分综合得分为18.5分；其中人员管理得分为 2.5分。据相关文件合理控制财政供养人员情况，不断健全人事管理制度；同时根据单位工作需要对工作人员组织培训，提升员工工</w:t>
      </w:r>
      <w:r>
        <w:rPr>
          <w:rFonts w:ascii="宋体" w:hAnsi="宋体" w:cs="宋体" w:hint="eastAsia"/>
        </w:rPr>
        <w:lastRenderedPageBreak/>
        <w:t>作能力。培训后应积极测试培训效果，反映培训成效，更好的更加真实的反馈培训的有效性。</w:t>
      </w:r>
    </w:p>
    <w:p w:rsidR="00E65B52" w:rsidRDefault="00D033EA">
      <w:pPr>
        <w:ind w:firstLine="560"/>
        <w:outlineLvl w:val="2"/>
      </w:pPr>
      <w:r>
        <w:rPr>
          <w:rFonts w:hint="eastAsia"/>
        </w:rPr>
        <w:t>3</w:t>
      </w:r>
      <w:r>
        <w:rPr>
          <w:rFonts w:hint="eastAsia"/>
        </w:rPr>
        <w:t>、资金及资产管理</w:t>
      </w:r>
    </w:p>
    <w:p w:rsidR="00E65B52" w:rsidRDefault="00D033EA">
      <w:pPr>
        <w:ind w:firstLine="560"/>
      </w:pPr>
      <w:r>
        <w:rPr>
          <w:rFonts w:hint="eastAsia"/>
        </w:rPr>
        <w:t>绩效目标内部管理部分综合得分为</w:t>
      </w:r>
      <w:r>
        <w:rPr>
          <w:rFonts w:hint="eastAsia"/>
        </w:rPr>
        <w:t>18.5</w:t>
      </w:r>
      <w:r>
        <w:rPr>
          <w:rFonts w:hint="eastAsia"/>
        </w:rPr>
        <w:t>分；其中资金及资产管理得分为</w:t>
      </w:r>
      <w:r>
        <w:rPr>
          <w:rFonts w:hint="eastAsia"/>
        </w:rPr>
        <w:t xml:space="preserve"> 5.5</w:t>
      </w:r>
      <w:r>
        <w:rPr>
          <w:rFonts w:hint="eastAsia"/>
        </w:rPr>
        <w:t>分。资金使用符合财经法规和财务管理制度及有关专项资金管理办法的规定，资金的拨付有完整的审批过程和手续，支出符合部门预算批复的用途，合理编制年初预算以便于支出调整预算执行率为</w:t>
      </w:r>
      <w:r>
        <w:rPr>
          <w:rFonts w:hint="eastAsia"/>
        </w:rPr>
        <w:t>100%</w:t>
      </w:r>
      <w:r>
        <w:rPr>
          <w:rFonts w:hint="eastAsia"/>
        </w:rPr>
        <w:t>，做到资金使用中做到专款专用率为</w:t>
      </w:r>
      <w:r>
        <w:rPr>
          <w:rFonts w:hint="eastAsia"/>
        </w:rPr>
        <w:t xml:space="preserve"> 100%</w:t>
      </w:r>
      <w:r>
        <w:rPr>
          <w:rFonts w:hint="eastAsia"/>
        </w:rPr>
        <w:t>。依据《连云港市市级行政事业单位国有资产管理暂行办法》（连财规〔</w:t>
      </w:r>
      <w:r>
        <w:rPr>
          <w:rFonts w:hint="eastAsia"/>
        </w:rPr>
        <w:t>2011</w:t>
      </w:r>
      <w:r>
        <w:rPr>
          <w:rFonts w:hint="eastAsia"/>
        </w:rPr>
        <w:t>〕</w:t>
      </w:r>
      <w:r>
        <w:rPr>
          <w:rFonts w:hint="eastAsia"/>
        </w:rPr>
        <w:t>1</w:t>
      </w:r>
      <w:r>
        <w:rPr>
          <w:rFonts w:hint="eastAsia"/>
        </w:rPr>
        <w:t>号）、《连云港市市级行政事业单位国有资产使用管理暂行办法》（连财规〔</w:t>
      </w:r>
      <w:r>
        <w:rPr>
          <w:rFonts w:hint="eastAsia"/>
        </w:rPr>
        <w:t>2012</w:t>
      </w:r>
      <w:r>
        <w:rPr>
          <w:rFonts w:hint="eastAsia"/>
        </w:rPr>
        <w:t>〕</w:t>
      </w:r>
      <w:r>
        <w:rPr>
          <w:rFonts w:hint="eastAsia"/>
        </w:rPr>
        <w:t>5</w:t>
      </w:r>
      <w:r>
        <w:rPr>
          <w:rFonts w:hint="eastAsia"/>
        </w:rPr>
        <w:t>号）、《连云港市市级行政事业单位国有资产处置管理办法》（连财资〔</w:t>
      </w:r>
      <w:r>
        <w:rPr>
          <w:rFonts w:hint="eastAsia"/>
        </w:rPr>
        <w:t>2018</w:t>
      </w:r>
      <w:r>
        <w:rPr>
          <w:rFonts w:hint="eastAsia"/>
        </w:rPr>
        <w:t>〕</w:t>
      </w:r>
      <w:r>
        <w:rPr>
          <w:rFonts w:hint="eastAsia"/>
        </w:rPr>
        <w:t>81</w:t>
      </w:r>
      <w:r>
        <w:rPr>
          <w:rFonts w:hint="eastAsia"/>
        </w:rPr>
        <w:t>号）严格执行固定资产管理及政府采购制度，按照规定配置办公设备，规范固定资产的审批、购买、领用等程序，保证资产的安全性。</w:t>
      </w:r>
    </w:p>
    <w:p w:rsidR="00E65B52" w:rsidRDefault="00D033EA">
      <w:pPr>
        <w:ind w:firstLine="560"/>
        <w:outlineLvl w:val="2"/>
      </w:pPr>
      <w:r>
        <w:rPr>
          <w:rFonts w:hint="eastAsia"/>
        </w:rPr>
        <w:t>4</w:t>
      </w:r>
      <w:r>
        <w:rPr>
          <w:rFonts w:hint="eastAsia"/>
        </w:rPr>
        <w:t>、机构建设与内控管理</w:t>
      </w:r>
    </w:p>
    <w:p w:rsidR="00E65B52" w:rsidRDefault="00D033EA">
      <w:pPr>
        <w:ind w:firstLine="560"/>
      </w:pPr>
      <w:r>
        <w:rPr>
          <w:rFonts w:hint="eastAsia"/>
        </w:rPr>
        <w:t>绩效目标内部管理部分综合得分为</w:t>
      </w:r>
      <w:r>
        <w:rPr>
          <w:rFonts w:hint="eastAsia"/>
        </w:rPr>
        <w:t>18.5</w:t>
      </w:r>
      <w:r>
        <w:rPr>
          <w:rFonts w:hint="eastAsia"/>
        </w:rPr>
        <w:t>分；其中机构建设与内控管理得分为</w:t>
      </w:r>
      <w:r>
        <w:rPr>
          <w:rFonts w:hint="eastAsia"/>
        </w:rPr>
        <w:t xml:space="preserve"> 8.5</w:t>
      </w:r>
      <w:r>
        <w:rPr>
          <w:rFonts w:hint="eastAsia"/>
        </w:rPr>
        <w:t>分。单位不断健全落实工作风险控制制度将违纪违法发生数降至为</w:t>
      </w:r>
      <w:r>
        <w:rPr>
          <w:rFonts w:hint="eastAsia"/>
        </w:rPr>
        <w:t>0</w:t>
      </w:r>
      <w:r>
        <w:rPr>
          <w:rFonts w:hint="eastAsia"/>
        </w:rPr>
        <w:t>，严格落实中央规定精神及其实施细则，执行各项财务制度，合理编制预算，及时做好预决算省级平台公示及各种常规性报表。</w:t>
      </w:r>
      <w:r>
        <w:rPr>
          <w:rFonts w:hint="eastAsia"/>
        </w:rPr>
        <w:t>2021</w:t>
      </w:r>
      <w:r>
        <w:rPr>
          <w:rFonts w:hint="eastAsia"/>
        </w:rPr>
        <w:t>年网络及信息系统管理与运行安全稳定。</w:t>
      </w:r>
      <w:r>
        <w:rPr>
          <w:rFonts w:hint="eastAsia"/>
        </w:rPr>
        <w:t>2021</w:t>
      </w:r>
      <w:r>
        <w:rPr>
          <w:rFonts w:hint="eastAsia"/>
        </w:rPr>
        <w:t>年我局获得全市综合考核获一等奖。在部门工作创新上，需要更加调动职工积极性，探讨出更加高效的工作方式。</w:t>
      </w:r>
    </w:p>
    <w:p w:rsidR="00E65B52" w:rsidRDefault="00D033EA">
      <w:pPr>
        <w:pStyle w:val="2"/>
        <w:ind w:firstLine="643"/>
        <w:rPr>
          <w:bCs/>
          <w:szCs w:val="32"/>
        </w:rPr>
      </w:pPr>
      <w:bookmarkStart w:id="15" w:name="_Toc27950"/>
      <w:bookmarkStart w:id="16" w:name="_Toc2518"/>
      <w:r>
        <w:rPr>
          <w:rFonts w:hint="eastAsia"/>
        </w:rPr>
        <w:lastRenderedPageBreak/>
        <w:t>3.2</w:t>
      </w:r>
      <w:r>
        <w:rPr>
          <w:rFonts w:hint="eastAsia"/>
        </w:rPr>
        <w:t>、部门履职（各指标得分情况和绩效分析）</w:t>
      </w:r>
      <w:bookmarkEnd w:id="15"/>
      <w:bookmarkEnd w:id="16"/>
    </w:p>
    <w:p w:rsidR="00E65B52" w:rsidRDefault="00D033EA">
      <w:pPr>
        <w:ind w:firstLine="560"/>
      </w:pPr>
      <w:r>
        <w:rPr>
          <w:rFonts w:hint="eastAsia"/>
        </w:rPr>
        <w:t>1</w:t>
      </w:r>
      <w:r>
        <w:rPr>
          <w:rFonts w:hint="eastAsia"/>
        </w:rPr>
        <w:t>、职能一：承担规范全市住房和城乡建设管理秩序的责任。制定全市住房和城乡建设规范性文件。研究提出住房和城乡建设重大问题的政策建议。编制全市住房和城乡建设发展规划。指导全市住房和城乡建设综合行政执法工作。组织开展全市住房和城乡建设信用体系建设工作，得分</w:t>
      </w:r>
      <w:r>
        <w:rPr>
          <w:rFonts w:hint="eastAsia"/>
        </w:rPr>
        <w:t>3</w:t>
      </w:r>
      <w:r>
        <w:rPr>
          <w:rFonts w:hint="eastAsia"/>
        </w:rPr>
        <w:t>分。扎实开展“比信念、比作风、比服务、比业务、比业绩”的“五比”竞赛活动，坚持以“十四五”规划为蓝图，制定印发《连云港市住建条线“争当表率、争做示范、走在前列”十大行动计划（</w:t>
      </w:r>
      <w:r>
        <w:rPr>
          <w:rFonts w:hint="eastAsia"/>
        </w:rPr>
        <w:t>2021-2023</w:t>
      </w:r>
      <w:r>
        <w:rPr>
          <w:rFonts w:hint="eastAsia"/>
        </w:rPr>
        <w:t>年）》，排目标、明方向、严举措，推动全市住建条线争先进、勇争先，受到市政府主要领导批示肯定。局党委被评为全省住建行业先进基层党组织。</w:t>
      </w:r>
    </w:p>
    <w:p w:rsidR="00E65B52" w:rsidRDefault="00D033EA">
      <w:pPr>
        <w:ind w:firstLine="560"/>
      </w:pPr>
      <w:r>
        <w:rPr>
          <w:rFonts w:hint="eastAsia"/>
        </w:rPr>
        <w:t>2</w:t>
      </w:r>
      <w:r>
        <w:rPr>
          <w:rFonts w:hint="eastAsia"/>
        </w:rPr>
        <w:t>、职能二：承担全市城镇住房保障和住房制度改革的责任。拟订住房政策、住房保障政策和住房制度改革方案，并指导实施。组织编制全市住房发展规划和住房保障发展规划、年度计划并监督实施。推进全市住房保障体系建设，建立并指导保障性安居工程运营管理制度的实施。监督全市除住房公积金外的其他住房资金的管理、使用和安全。会同有关部门做好中央、省、市有关廉租住房资金安排，指导和监督县、区组织实施，得分</w:t>
      </w:r>
      <w:r>
        <w:rPr>
          <w:rFonts w:hint="eastAsia"/>
        </w:rPr>
        <w:t>8</w:t>
      </w:r>
      <w:r>
        <w:rPr>
          <w:rFonts w:hint="eastAsia"/>
        </w:rPr>
        <w:t>分。全力改善宜居环境，老旧小区改造涉及小区总建筑面积近</w:t>
      </w:r>
      <w:r>
        <w:rPr>
          <w:rFonts w:hint="eastAsia"/>
        </w:rPr>
        <w:t>389.56</w:t>
      </w:r>
      <w:r>
        <w:rPr>
          <w:rFonts w:hint="eastAsia"/>
        </w:rPr>
        <w:t>万平方米，惠及</w:t>
      </w:r>
      <w:r>
        <w:rPr>
          <w:rFonts w:hint="eastAsia"/>
        </w:rPr>
        <w:t>4.17</w:t>
      </w:r>
      <w:r>
        <w:rPr>
          <w:rFonts w:hint="eastAsia"/>
        </w:rPr>
        <w:t>万户业主，年底完成老旧小区改造项目</w:t>
      </w:r>
      <w:r>
        <w:rPr>
          <w:rFonts w:hint="eastAsia"/>
        </w:rPr>
        <w:t>150</w:t>
      </w:r>
      <w:r>
        <w:rPr>
          <w:rFonts w:hint="eastAsia"/>
        </w:rPr>
        <w:t>个，改造规模位列全省第一方阵。完成老旧小区加装电梯</w:t>
      </w:r>
      <w:r>
        <w:rPr>
          <w:rFonts w:hint="eastAsia"/>
        </w:rPr>
        <w:t>24</w:t>
      </w:r>
      <w:r>
        <w:rPr>
          <w:rFonts w:hint="eastAsia"/>
        </w:rPr>
        <w:t>部，开展前期工作的有</w:t>
      </w:r>
      <w:r>
        <w:rPr>
          <w:rFonts w:hint="eastAsia"/>
        </w:rPr>
        <w:t>28</w:t>
      </w:r>
      <w:r>
        <w:rPr>
          <w:rFonts w:hint="eastAsia"/>
        </w:rPr>
        <w:t>部，正在施工的有</w:t>
      </w:r>
      <w:r>
        <w:rPr>
          <w:rFonts w:hint="eastAsia"/>
        </w:rPr>
        <w:t>22</w:t>
      </w:r>
      <w:r>
        <w:rPr>
          <w:rFonts w:hint="eastAsia"/>
        </w:rPr>
        <w:t>部。连云港站北片区等区域</w:t>
      </w:r>
      <w:r>
        <w:rPr>
          <w:rFonts w:hint="eastAsia"/>
        </w:rPr>
        <w:t>11</w:t>
      </w:r>
      <w:r>
        <w:rPr>
          <w:rFonts w:hint="eastAsia"/>
        </w:rPr>
        <w:t>个棚改项目稳步推进，棚改新开工</w:t>
      </w:r>
      <w:r>
        <w:rPr>
          <w:rFonts w:hint="eastAsia"/>
        </w:rPr>
        <w:lastRenderedPageBreak/>
        <w:t>6876</w:t>
      </w:r>
      <w:r>
        <w:rPr>
          <w:rFonts w:hint="eastAsia"/>
        </w:rPr>
        <w:t>套、基本建成</w:t>
      </w:r>
      <w:r>
        <w:rPr>
          <w:rFonts w:hint="eastAsia"/>
        </w:rPr>
        <w:t>7846</w:t>
      </w:r>
      <w:r>
        <w:rPr>
          <w:rFonts w:hint="eastAsia"/>
        </w:rPr>
        <w:t>套，分别完成省定任务的</w:t>
      </w:r>
      <w:r>
        <w:rPr>
          <w:rFonts w:hint="eastAsia"/>
        </w:rPr>
        <w:t>152.8%</w:t>
      </w:r>
      <w:r>
        <w:rPr>
          <w:rFonts w:hint="eastAsia"/>
        </w:rPr>
        <w:t>、</w:t>
      </w:r>
      <w:r>
        <w:rPr>
          <w:rFonts w:hint="eastAsia"/>
        </w:rPr>
        <w:t>283.25%</w:t>
      </w:r>
      <w:r>
        <w:rPr>
          <w:rFonts w:hint="eastAsia"/>
        </w:rPr>
        <w:t>。排查既有建筑</w:t>
      </w:r>
      <w:r>
        <w:rPr>
          <w:rFonts w:hint="eastAsia"/>
        </w:rPr>
        <w:t>10.1</w:t>
      </w:r>
      <w:r>
        <w:rPr>
          <w:rFonts w:hint="eastAsia"/>
        </w:rPr>
        <w:t>万栋</w:t>
      </w:r>
      <w:r>
        <w:rPr>
          <w:rFonts w:hint="eastAsia"/>
        </w:rPr>
        <w:t>1.82</w:t>
      </w:r>
      <w:r>
        <w:rPr>
          <w:rFonts w:hint="eastAsia"/>
        </w:rPr>
        <w:t>亿平方米，整治维修加固城镇危旧房屋</w:t>
      </w:r>
      <w:r>
        <w:rPr>
          <w:rFonts w:hint="eastAsia"/>
        </w:rPr>
        <w:t>4.3</w:t>
      </w:r>
      <w:r>
        <w:rPr>
          <w:rFonts w:hint="eastAsia"/>
        </w:rPr>
        <w:t>万平方米。通过货币租赁补贴和住房实物分配等方式，解决</w:t>
      </w:r>
      <w:r>
        <w:rPr>
          <w:rFonts w:hint="eastAsia"/>
        </w:rPr>
        <w:t>1793</w:t>
      </w:r>
      <w:r>
        <w:rPr>
          <w:rFonts w:hint="eastAsia"/>
        </w:rPr>
        <w:t>户低收入家庭安居问题，完成目标的</w:t>
      </w:r>
      <w:r>
        <w:rPr>
          <w:rFonts w:hint="eastAsia"/>
        </w:rPr>
        <w:t>179%</w:t>
      </w:r>
      <w:r>
        <w:rPr>
          <w:rFonts w:hint="eastAsia"/>
        </w:rPr>
        <w:t>。</w:t>
      </w:r>
    </w:p>
    <w:p w:rsidR="00E65B52" w:rsidRDefault="00D033EA">
      <w:pPr>
        <w:ind w:firstLine="560"/>
        <w:rPr>
          <w:rFonts w:ascii="宋体" w:hAnsi="宋体" w:cs="宋体"/>
        </w:rPr>
      </w:pPr>
      <w:r>
        <w:rPr>
          <w:rFonts w:ascii="宋体" w:hAnsi="宋体" w:cs="宋体" w:hint="eastAsia"/>
        </w:rPr>
        <w:t>3、职能三：承担规范房地产市场秩序、监督管理房地产市场的责任。拟订房地产业发展和市场监管政策并监督执行。提出房地产业的行业发展规划并监督实施。制定房地产开发、住宅产业化与性能认定、房屋租赁、房地产估价与经纪管理、物业管理、装饰装修、国有土地上房屋征收等规章制度并监督执行。参与制定全市国有土地出让计划。配合做好房地产交易与产权管理相关工作，得3分。开发并投用电子保单平台，在省内率先试行“互联网+保证金”模式。落实“放管服”工作要求，实施“拿地即开工+告知承诺制”审批新模式。全市商品房销售面积785.71万平方米，同比增长13.64%，全市库存商品房、商品住宅去化周期分别为21.42、11.07个月，同比分别减少1.15、0.76个月，去化周期保持在合理稳定区间，房地产业税收91.5亿元，占全市税收比重21.6%。</w:t>
      </w:r>
    </w:p>
    <w:p w:rsidR="00E65B52" w:rsidRDefault="00D033EA">
      <w:pPr>
        <w:ind w:firstLine="560"/>
      </w:pPr>
      <w:r>
        <w:rPr>
          <w:rFonts w:hint="eastAsia"/>
        </w:rPr>
        <w:t>4</w:t>
      </w:r>
      <w:r>
        <w:rPr>
          <w:rFonts w:hint="eastAsia"/>
        </w:rPr>
        <w:t>、</w:t>
      </w:r>
      <w:r>
        <w:t>职能</w:t>
      </w:r>
      <w:r>
        <w:rPr>
          <w:rFonts w:hint="eastAsia"/>
        </w:rPr>
        <w:t>四</w:t>
      </w:r>
      <w:r>
        <w:t>：</w:t>
      </w:r>
      <w:r>
        <w:rPr>
          <w:rFonts w:hint="eastAsia"/>
        </w:rPr>
        <w:t>承担设计行业发展和管理的责任。拟订工程勘察设计咨询业发展规划、技术政策和规章制度。指导城市设计、建筑设计、工程勘察设计工作，会同有关部门负责历史文化名城（名镇、名村）和历史文化保护区的申报、保护规划的审查报批和监督实施工作。监督管理施工图设计审查工作。组织编制城乡建设抗震防灾规划、应急避难场所布局规划并监督实施，负责各类房屋建筑及其附属设施和市</w:t>
      </w:r>
      <w:r>
        <w:rPr>
          <w:rFonts w:hint="eastAsia"/>
        </w:rPr>
        <w:lastRenderedPageBreak/>
        <w:t>政设施的抗震设防工作，指导应急避难场所建设工作，得分</w:t>
      </w:r>
      <w:r>
        <w:rPr>
          <w:rFonts w:hint="eastAsia"/>
        </w:rPr>
        <w:t>2.5</w:t>
      </w:r>
      <w:r>
        <w:rPr>
          <w:rFonts w:hint="eastAsia"/>
        </w:rPr>
        <w:t>分。印发《连云港市</w:t>
      </w:r>
      <w:r>
        <w:rPr>
          <w:rFonts w:hint="eastAsia"/>
        </w:rPr>
        <w:t>2021</w:t>
      </w:r>
      <w:r>
        <w:rPr>
          <w:rFonts w:hint="eastAsia"/>
        </w:rPr>
        <w:t>年度震情监视跟踪和应急准备工作实施方案》；托国家历史文化名城申报，有力推进历史文化街区核心保护区划定、历史文化名城保护规划编制及第三批历史建筑普查认定。</w:t>
      </w:r>
    </w:p>
    <w:p w:rsidR="00E65B52" w:rsidRDefault="00D033EA">
      <w:pPr>
        <w:ind w:firstLine="560"/>
      </w:pPr>
      <w:r>
        <w:rPr>
          <w:rFonts w:hint="eastAsia"/>
        </w:rPr>
        <w:t>5</w:t>
      </w:r>
      <w:r>
        <w:rPr>
          <w:rFonts w:hint="eastAsia"/>
        </w:rPr>
        <w:t>、职能五：拟订城市建设综合性发展规划。拟订全市城市市政基础设施和市政公用事业发展规划并指导实施。负责全市市政公用事业发展和市政基础设施建设、管理的责任。研究提出全市重大基础设施项目建设方案。推进海绵城市、城市地下综合管廊建设管理工作。负责人居环境奖评选的组织推荐和申报工作。参与生态文明、智慧城市、苏北发展工作，得分</w:t>
      </w:r>
      <w:r>
        <w:rPr>
          <w:rFonts w:hint="eastAsia"/>
        </w:rPr>
        <w:t>11</w:t>
      </w:r>
      <w:r>
        <w:rPr>
          <w:rFonts w:hint="eastAsia"/>
        </w:rPr>
        <w:t>分。围绕全市“高质发展，后发先至”的目标定位，加快完善城市功能配套，全力提升城市综合竞争力。机场大道、松竹路等</w:t>
      </w:r>
      <w:r>
        <w:rPr>
          <w:rFonts w:hint="eastAsia"/>
        </w:rPr>
        <w:t>40</w:t>
      </w:r>
      <w:r>
        <w:rPr>
          <w:rFonts w:hint="eastAsia"/>
        </w:rPr>
        <w:t>条道路开工建设，海州海青路改建、赣榆深圳路改造等</w:t>
      </w:r>
      <w:r>
        <w:rPr>
          <w:rFonts w:hint="eastAsia"/>
        </w:rPr>
        <w:t>30</w:t>
      </w:r>
      <w:r>
        <w:rPr>
          <w:rFonts w:hint="eastAsia"/>
        </w:rPr>
        <w:t>条道路竣工通车，新建城市道路约</w:t>
      </w:r>
      <w:r>
        <w:rPr>
          <w:rFonts w:hint="eastAsia"/>
        </w:rPr>
        <w:t>72</w:t>
      </w:r>
      <w:r>
        <w:rPr>
          <w:rFonts w:hint="eastAsia"/>
        </w:rPr>
        <w:t>公里，整治主城区背街小巷</w:t>
      </w:r>
      <w:r>
        <w:rPr>
          <w:rFonts w:hint="eastAsia"/>
        </w:rPr>
        <w:t>45</w:t>
      </w:r>
      <w:r>
        <w:rPr>
          <w:rFonts w:hint="eastAsia"/>
        </w:rPr>
        <w:t>条，补建市政消火栓</w:t>
      </w:r>
      <w:r>
        <w:rPr>
          <w:rFonts w:hint="eastAsia"/>
        </w:rPr>
        <w:t>1231</w:t>
      </w:r>
      <w:r>
        <w:rPr>
          <w:rFonts w:hint="eastAsia"/>
        </w:rPr>
        <w:t>个、维修</w:t>
      </w:r>
      <w:r>
        <w:rPr>
          <w:rFonts w:hint="eastAsia"/>
        </w:rPr>
        <w:t>1048</w:t>
      </w:r>
      <w:r>
        <w:rPr>
          <w:rFonts w:hint="eastAsia"/>
        </w:rPr>
        <w:t>个；加快落实管长制，全市污水直排口基本消除，完成城市建成区内</w:t>
      </w:r>
      <w:r>
        <w:rPr>
          <w:rFonts w:hint="eastAsia"/>
        </w:rPr>
        <w:t>297</w:t>
      </w:r>
      <w:r>
        <w:rPr>
          <w:rFonts w:hint="eastAsia"/>
        </w:rPr>
        <w:t>公里污水管网排查和</w:t>
      </w:r>
      <w:r>
        <w:rPr>
          <w:rFonts w:hint="eastAsia"/>
        </w:rPr>
        <w:t>250</w:t>
      </w:r>
      <w:r>
        <w:rPr>
          <w:rFonts w:hint="eastAsia"/>
        </w:rPr>
        <w:t>公里污水管网建设，消除污水管网空白区</w:t>
      </w:r>
      <w:r>
        <w:rPr>
          <w:rFonts w:hint="eastAsia"/>
        </w:rPr>
        <w:t>16</w:t>
      </w:r>
      <w:r>
        <w:rPr>
          <w:rFonts w:hint="eastAsia"/>
        </w:rPr>
        <w:t>平方公里，年底城市建成区</w:t>
      </w:r>
      <w:r>
        <w:rPr>
          <w:rFonts w:hint="eastAsia"/>
        </w:rPr>
        <w:t>30%</w:t>
      </w:r>
      <w:r>
        <w:rPr>
          <w:rFonts w:hint="eastAsia"/>
        </w:rPr>
        <w:t>以上面积建成提质增效达标区；推进城市排水防涝工作，市区</w:t>
      </w:r>
      <w:r>
        <w:rPr>
          <w:rFonts w:hint="eastAsia"/>
        </w:rPr>
        <w:t>22</w:t>
      </w:r>
      <w:r>
        <w:rPr>
          <w:rFonts w:hint="eastAsia"/>
        </w:rPr>
        <w:t>个道路积水点排查整治完成，疏通排水干管</w:t>
      </w:r>
      <w:r>
        <w:rPr>
          <w:rFonts w:hint="eastAsia"/>
        </w:rPr>
        <w:t>823</w:t>
      </w:r>
      <w:r>
        <w:rPr>
          <w:rFonts w:hint="eastAsia"/>
        </w:rPr>
        <w:t>公里，清捞窨井和雨水井</w:t>
      </w:r>
      <w:r>
        <w:rPr>
          <w:rFonts w:hint="eastAsia"/>
        </w:rPr>
        <w:t>3.6</w:t>
      </w:r>
      <w:r>
        <w:rPr>
          <w:rFonts w:hint="eastAsia"/>
        </w:rPr>
        <w:t>万座，全力保障城市安全度汛。</w:t>
      </w:r>
    </w:p>
    <w:p w:rsidR="00E65B52" w:rsidRDefault="00D033EA">
      <w:pPr>
        <w:ind w:firstLine="560"/>
      </w:pPr>
      <w:r>
        <w:rPr>
          <w:rFonts w:hint="eastAsia"/>
        </w:rPr>
        <w:t>6</w:t>
      </w:r>
      <w:r>
        <w:rPr>
          <w:rFonts w:hint="eastAsia"/>
        </w:rPr>
        <w:t>、职能六：承担监督指导全市城市园林绿化工作的责任。制定全市城市园林绿化政策、发展规划、技术规范并指导实施。指导城市规划区内的绿地系统构建、生物多样性及古树名木保护等工作。指导</w:t>
      </w:r>
      <w:r>
        <w:rPr>
          <w:rFonts w:hint="eastAsia"/>
        </w:rPr>
        <w:lastRenderedPageBreak/>
        <w:t>城市公园建设管理、古典园林保护修复、传统园林营造技艺传承等工作。指导县区创建“园林城市”、“生态园林城市”。负责组织各种园林园艺展览和交流活动，得分</w:t>
      </w:r>
      <w:r>
        <w:rPr>
          <w:rFonts w:hint="eastAsia"/>
        </w:rPr>
        <w:t>7</w:t>
      </w:r>
      <w:r>
        <w:rPr>
          <w:rFonts w:hint="eastAsia"/>
        </w:rPr>
        <w:t>分。纵深推进实施“生态园林城市”创建行动，城市便民服务功能和生态宜居环境显著改善。全市完成新增绿地</w:t>
      </w:r>
      <w:r>
        <w:rPr>
          <w:rFonts w:hint="eastAsia"/>
        </w:rPr>
        <w:t>380</w:t>
      </w:r>
      <w:r>
        <w:rPr>
          <w:rFonts w:hint="eastAsia"/>
        </w:rPr>
        <w:t>公顷，其中市区新增绿地</w:t>
      </w:r>
      <w:r>
        <w:rPr>
          <w:rFonts w:hint="eastAsia"/>
        </w:rPr>
        <w:t>234</w:t>
      </w:r>
      <w:r>
        <w:rPr>
          <w:rFonts w:hint="eastAsia"/>
        </w:rPr>
        <w:t>公顷，绿化覆盖率达</w:t>
      </w:r>
      <w:r>
        <w:rPr>
          <w:rFonts w:hint="eastAsia"/>
        </w:rPr>
        <w:t>42.54%</w:t>
      </w:r>
      <w:r>
        <w:rPr>
          <w:rFonts w:hint="eastAsia"/>
        </w:rPr>
        <w:t>以上，绿地率达</w:t>
      </w:r>
      <w:r>
        <w:rPr>
          <w:rFonts w:hint="eastAsia"/>
        </w:rPr>
        <w:t>38.57%</w:t>
      </w:r>
      <w:r>
        <w:rPr>
          <w:rFonts w:hint="eastAsia"/>
        </w:rPr>
        <w:t>，人均公园绿地面积达</w:t>
      </w:r>
      <w:r>
        <w:rPr>
          <w:rFonts w:hint="eastAsia"/>
        </w:rPr>
        <w:t>15.13</w:t>
      </w:r>
      <w:r>
        <w:rPr>
          <w:rFonts w:hint="eastAsia"/>
        </w:rPr>
        <w:t>平方米</w:t>
      </w:r>
      <w:r>
        <w:rPr>
          <w:rFonts w:hint="eastAsia"/>
        </w:rPr>
        <w:t>/</w:t>
      </w:r>
      <w:r>
        <w:rPr>
          <w:rFonts w:hint="eastAsia"/>
        </w:rPr>
        <w:t>人；刘志洲公园、和安湖湿地公园、朐阳公园等</w:t>
      </w:r>
      <w:r>
        <w:rPr>
          <w:rFonts w:hint="eastAsia"/>
        </w:rPr>
        <w:t>6</w:t>
      </w:r>
      <w:r>
        <w:rPr>
          <w:rFonts w:hint="eastAsia"/>
        </w:rPr>
        <w:t>个公园建成开放，园博园、赣榆白鹭园等有序实施。苍梧绿园等</w:t>
      </w:r>
      <w:r>
        <w:rPr>
          <w:rFonts w:hint="eastAsia"/>
        </w:rPr>
        <w:t>6</w:t>
      </w:r>
      <w:r>
        <w:rPr>
          <w:rFonts w:hint="eastAsia"/>
        </w:rPr>
        <w:t>个综合公园提升为健康主题公园；建成新海路游园、关庙巷游园等</w:t>
      </w:r>
      <w:r>
        <w:rPr>
          <w:rFonts w:hint="eastAsia"/>
        </w:rPr>
        <w:t>18</w:t>
      </w:r>
      <w:r>
        <w:rPr>
          <w:rFonts w:hint="eastAsia"/>
        </w:rPr>
        <w:t>处“口袋公园”，超额完成年度目标。实施东苑巷、康泰路等</w:t>
      </w:r>
      <w:r>
        <w:rPr>
          <w:rFonts w:hint="eastAsia"/>
        </w:rPr>
        <w:t>24</w:t>
      </w:r>
      <w:r>
        <w:rPr>
          <w:rFonts w:hint="eastAsia"/>
        </w:rPr>
        <w:t>条各具特色“小而精”的街巷绿化改造，打造花园式小街巷。</w:t>
      </w:r>
    </w:p>
    <w:p w:rsidR="00E65B52" w:rsidRDefault="00D033EA">
      <w:pPr>
        <w:ind w:firstLine="560"/>
      </w:pPr>
      <w:r>
        <w:rPr>
          <w:rFonts w:hint="eastAsia"/>
        </w:rPr>
        <w:t>7</w:t>
      </w:r>
      <w:r>
        <w:rPr>
          <w:rFonts w:hint="eastAsia"/>
        </w:rPr>
        <w:t>、职能七：协同推进乡村振兴战略，参与村镇建设规划编制，指导村庄和小城镇建设工作。指导农村住房建设和危房改造。配合开展小城镇人居环境改善工作。指导全市美丽宜居乡村建设工程、特色田园乡村、重点中心镇和特色小城镇的建设，指导农民群众住房条件改善工作，指导传统村落保护和发展工作，得分</w:t>
      </w:r>
      <w:r>
        <w:rPr>
          <w:rFonts w:hint="eastAsia"/>
        </w:rPr>
        <w:t>6</w:t>
      </w:r>
      <w:r>
        <w:rPr>
          <w:rFonts w:hint="eastAsia"/>
        </w:rPr>
        <w:t>分。坚持将美丽宜居乡村建设与农房改善项目建设、特色田园乡村示范片区等建设相融合，全市已建成美丽宜居乡村中，特色田园乡村、农房改善项目等占比达</w:t>
      </w:r>
      <w:r>
        <w:rPr>
          <w:rFonts w:hint="eastAsia"/>
        </w:rPr>
        <w:t>16%</w:t>
      </w:r>
      <w:r>
        <w:rPr>
          <w:rFonts w:hint="eastAsia"/>
        </w:rPr>
        <w:t>，发挥起良好的典型带动作用。其中，省下达我市农房改善目标任务“</w:t>
      </w:r>
      <w:r>
        <w:rPr>
          <w:rFonts w:hint="eastAsia"/>
        </w:rPr>
        <w:t>3</w:t>
      </w:r>
      <w:r>
        <w:rPr>
          <w:rFonts w:hint="eastAsia"/>
        </w:rPr>
        <w:t>年</w:t>
      </w:r>
      <w:r>
        <w:rPr>
          <w:rFonts w:hint="eastAsia"/>
        </w:rPr>
        <w:t>4.5</w:t>
      </w:r>
      <w:r>
        <w:rPr>
          <w:rFonts w:hint="eastAsia"/>
        </w:rPr>
        <w:t>万户”，全市已改善农户</w:t>
      </w:r>
      <w:r>
        <w:rPr>
          <w:rFonts w:hint="eastAsia"/>
        </w:rPr>
        <w:t>4.97</w:t>
      </w:r>
      <w:r>
        <w:rPr>
          <w:rFonts w:hint="eastAsia"/>
        </w:rPr>
        <w:t>万户，超额完成省定目标任务；全市新增美丽宜居乡村</w:t>
      </w:r>
      <w:r>
        <w:rPr>
          <w:rFonts w:hint="eastAsia"/>
        </w:rPr>
        <w:t>584</w:t>
      </w:r>
      <w:r>
        <w:rPr>
          <w:rFonts w:hint="eastAsia"/>
        </w:rPr>
        <w:t>个，累计建成</w:t>
      </w:r>
      <w:r>
        <w:rPr>
          <w:rFonts w:hint="eastAsia"/>
        </w:rPr>
        <w:t>1193</w:t>
      </w:r>
      <w:r>
        <w:rPr>
          <w:rFonts w:hint="eastAsia"/>
        </w:rPr>
        <w:t>个，建成率</w:t>
      </w:r>
      <w:r>
        <w:rPr>
          <w:rFonts w:hint="eastAsia"/>
        </w:rPr>
        <w:t>71.7%</w:t>
      </w:r>
      <w:r>
        <w:rPr>
          <w:rFonts w:hint="eastAsia"/>
        </w:rPr>
        <w:t>；创建省级特色田园乡村</w:t>
      </w:r>
      <w:r>
        <w:rPr>
          <w:rFonts w:hint="eastAsia"/>
        </w:rPr>
        <w:t>5</w:t>
      </w:r>
      <w:r>
        <w:rPr>
          <w:rFonts w:hint="eastAsia"/>
        </w:rPr>
        <w:t>个，累计创建达</w:t>
      </w:r>
      <w:r>
        <w:rPr>
          <w:rFonts w:hint="eastAsia"/>
        </w:rPr>
        <w:t>23</w:t>
      </w:r>
      <w:r>
        <w:rPr>
          <w:rFonts w:hint="eastAsia"/>
        </w:rPr>
        <w:t>个，灌南</w:t>
      </w:r>
      <w:r>
        <w:rPr>
          <w:rFonts w:hint="eastAsia"/>
        </w:rPr>
        <w:lastRenderedPageBreak/>
        <w:t>新安镇硕项村等</w:t>
      </w:r>
      <w:r>
        <w:rPr>
          <w:rFonts w:hint="eastAsia"/>
        </w:rPr>
        <w:t>30</w:t>
      </w:r>
      <w:r>
        <w:rPr>
          <w:rFonts w:hint="eastAsia"/>
        </w:rPr>
        <w:t>个村庄获批市级特色田园乡村；农村房屋安全隐患排查整治全面推进，排查农村房屋安全隐患</w:t>
      </w:r>
      <w:r>
        <w:rPr>
          <w:rFonts w:hint="eastAsia"/>
        </w:rPr>
        <w:t>969843</w:t>
      </w:r>
      <w:r>
        <w:rPr>
          <w:rFonts w:hint="eastAsia"/>
        </w:rPr>
        <w:t>户，全面完成经营性农村自建房安全性鉴定，共鉴定</w:t>
      </w:r>
      <w:r>
        <w:rPr>
          <w:rFonts w:hint="eastAsia"/>
        </w:rPr>
        <w:t>202</w:t>
      </w:r>
      <w:r>
        <w:rPr>
          <w:rFonts w:hint="eastAsia"/>
        </w:rPr>
        <w:t>户，其中鉴定为</w:t>
      </w:r>
      <w:r>
        <w:rPr>
          <w:rFonts w:hint="eastAsia"/>
        </w:rPr>
        <w:t>C</w:t>
      </w:r>
      <w:r>
        <w:rPr>
          <w:rFonts w:hint="eastAsia"/>
        </w:rPr>
        <w:t>、</w:t>
      </w:r>
      <w:r>
        <w:rPr>
          <w:rFonts w:hint="eastAsia"/>
        </w:rPr>
        <w:t>D</w:t>
      </w:r>
      <w:r>
        <w:rPr>
          <w:rFonts w:hint="eastAsia"/>
        </w:rPr>
        <w:t>级的共</w:t>
      </w:r>
      <w:r>
        <w:rPr>
          <w:rFonts w:hint="eastAsia"/>
        </w:rPr>
        <w:t>131</w:t>
      </w:r>
      <w:r>
        <w:rPr>
          <w:rFonts w:hint="eastAsia"/>
        </w:rPr>
        <w:t>户，已全部完成整治。</w:t>
      </w:r>
    </w:p>
    <w:p w:rsidR="00E65B52" w:rsidRDefault="00D033EA">
      <w:pPr>
        <w:ind w:firstLine="560"/>
      </w:pPr>
      <w:r>
        <w:rPr>
          <w:rFonts w:hint="eastAsia"/>
        </w:rPr>
        <w:t>8</w:t>
      </w:r>
      <w:r>
        <w:rPr>
          <w:rFonts w:hint="eastAsia"/>
        </w:rPr>
        <w:t>、职能八：承担监督管理建筑市场、规范市场各方主体行为、推进建筑业发展的责任。拟订建筑业行业发展战略、中长期规划、改革方案、产业政策、规章制度并监督执行。制定规范建筑市场主体及中介服务机构行为的规章制度并监督实施。指导房屋建筑和市政基础设施工程项目招投标活动、施工许可、竣工验收的监督管理。负责工程建设实施阶段的监督管理，指导工程项目建设、合同管理和工程风险管理。促进建筑企业对外开拓市场、参与国际工程承包。拟订全市政府投资工程集中建设的规章制度并监督执行。负责市级政府投资非盈利性工程项目集中建设日常指导和监管，得分</w:t>
      </w:r>
      <w:r>
        <w:rPr>
          <w:rFonts w:hint="eastAsia"/>
        </w:rPr>
        <w:t>4</w:t>
      </w:r>
      <w:r>
        <w:rPr>
          <w:rFonts w:hint="eastAsia"/>
        </w:rPr>
        <w:t>分。全市完成建筑业总产值</w:t>
      </w:r>
      <w:r>
        <w:rPr>
          <w:rFonts w:hint="eastAsia"/>
        </w:rPr>
        <w:t>596.69</w:t>
      </w:r>
      <w:r>
        <w:rPr>
          <w:rFonts w:hint="eastAsia"/>
        </w:rPr>
        <w:t>亿元，同比增长</w:t>
      </w:r>
      <w:r>
        <w:rPr>
          <w:rFonts w:hint="eastAsia"/>
        </w:rPr>
        <w:t>9%</w:t>
      </w:r>
      <w:r>
        <w:rPr>
          <w:rFonts w:hint="eastAsia"/>
        </w:rPr>
        <w:t>，增速位居全省第二。实现建筑业增加值</w:t>
      </w:r>
      <w:r>
        <w:rPr>
          <w:rFonts w:hint="eastAsia"/>
        </w:rPr>
        <w:t>311.22</w:t>
      </w:r>
      <w:r>
        <w:rPr>
          <w:rFonts w:hint="eastAsia"/>
        </w:rPr>
        <w:t>亿元，占全市</w:t>
      </w:r>
      <w:r>
        <w:rPr>
          <w:rFonts w:hint="eastAsia"/>
        </w:rPr>
        <w:t>GDP</w:t>
      </w:r>
      <w:r>
        <w:rPr>
          <w:rFonts w:hint="eastAsia"/>
        </w:rPr>
        <w:t>比重</w:t>
      </w:r>
      <w:r>
        <w:rPr>
          <w:rFonts w:hint="eastAsia"/>
        </w:rPr>
        <w:t>8.35%</w:t>
      </w:r>
      <w:r>
        <w:rPr>
          <w:rFonts w:hint="eastAsia"/>
        </w:rPr>
        <w:t>，建筑业税收</w:t>
      </w:r>
      <w:r>
        <w:rPr>
          <w:rFonts w:hint="eastAsia"/>
        </w:rPr>
        <w:t>35.7</w:t>
      </w:r>
      <w:r>
        <w:rPr>
          <w:rFonts w:hint="eastAsia"/>
        </w:rPr>
        <w:t>亿元，占全市税收比重</w:t>
      </w:r>
      <w:r>
        <w:rPr>
          <w:rFonts w:hint="eastAsia"/>
        </w:rPr>
        <w:t>8.4%</w:t>
      </w:r>
      <w:r>
        <w:rPr>
          <w:rFonts w:hint="eastAsia"/>
        </w:rPr>
        <w:t>。</w:t>
      </w:r>
    </w:p>
    <w:p w:rsidR="00E65B52" w:rsidRDefault="00D033EA">
      <w:pPr>
        <w:ind w:firstLine="560"/>
      </w:pPr>
      <w:r>
        <w:rPr>
          <w:rFonts w:hint="eastAsia"/>
        </w:rPr>
        <w:t>9</w:t>
      </w:r>
      <w:r>
        <w:rPr>
          <w:rFonts w:hint="eastAsia"/>
        </w:rPr>
        <w:t>、职能九：承担建筑工程质量安全监管的责任。制定建筑工程质量、安全生产的规章制度，负责房屋建筑、市政基础设施、园林绿化、人民防空工程质量监督、安全监督工作。制定建筑业技术政策并指导实施。参与市政府组织的工程重大安全事故的调查处理，参与国家和省、市审批立项的房屋建筑、市政基础设施和人民防空重大建设项目工程质量、安全、施工现场监管和竣工验收的管理工作。组织评</w:t>
      </w:r>
      <w:r>
        <w:rPr>
          <w:rFonts w:hint="eastAsia"/>
        </w:rPr>
        <w:lastRenderedPageBreak/>
        <w:t>审市级优质工程，审核推荐省级优质工程，得分</w:t>
      </w:r>
      <w:r>
        <w:rPr>
          <w:rFonts w:hint="eastAsia"/>
        </w:rPr>
        <w:t>1</w:t>
      </w:r>
      <w:r>
        <w:rPr>
          <w:rFonts w:hint="eastAsia"/>
        </w:rPr>
        <w:t>分。紧紧围绕习近平总书记关于安全生产相关指示精神，严格落实国务院、省市安全生产工作部署要求，成立“三年大灶”全市城市建设安全专项整治三年行动市级工作专班；今年来，全市在建房屋建筑和市政基础设施工程</w:t>
      </w:r>
      <w:r>
        <w:rPr>
          <w:rFonts w:hint="eastAsia"/>
        </w:rPr>
        <w:t>831</w:t>
      </w:r>
      <w:r>
        <w:rPr>
          <w:rFonts w:hint="eastAsia"/>
        </w:rPr>
        <w:t>项，总造价</w:t>
      </w:r>
      <w:r>
        <w:rPr>
          <w:rFonts w:hint="eastAsia"/>
        </w:rPr>
        <w:t>1134.4</w:t>
      </w:r>
      <w:r>
        <w:rPr>
          <w:rFonts w:hint="eastAsia"/>
        </w:rPr>
        <w:t>亿元，在建面积</w:t>
      </w:r>
      <w:r>
        <w:rPr>
          <w:rFonts w:hint="eastAsia"/>
        </w:rPr>
        <w:t>3263</w:t>
      </w:r>
      <w:r>
        <w:rPr>
          <w:rFonts w:hint="eastAsia"/>
        </w:rPr>
        <w:t>万平方米。全市成立检查组</w:t>
      </w:r>
      <w:r>
        <w:rPr>
          <w:rFonts w:hint="eastAsia"/>
        </w:rPr>
        <w:t>68</w:t>
      </w:r>
      <w:r>
        <w:rPr>
          <w:rFonts w:hint="eastAsia"/>
        </w:rPr>
        <w:t>个，派出检查组</w:t>
      </w:r>
      <w:r>
        <w:rPr>
          <w:rFonts w:hint="eastAsia"/>
        </w:rPr>
        <w:t>412</w:t>
      </w:r>
      <w:r>
        <w:rPr>
          <w:rFonts w:hint="eastAsia"/>
        </w:rPr>
        <w:t>次，停工整改</w:t>
      </w:r>
      <w:r>
        <w:rPr>
          <w:rFonts w:hint="eastAsia"/>
        </w:rPr>
        <w:t>175</w:t>
      </w:r>
      <w:r>
        <w:rPr>
          <w:rFonts w:hint="eastAsia"/>
        </w:rPr>
        <w:t>项次，联合惩戒</w:t>
      </w:r>
      <w:r>
        <w:rPr>
          <w:rFonts w:hint="eastAsia"/>
        </w:rPr>
        <w:t>13</w:t>
      </w:r>
      <w:r>
        <w:rPr>
          <w:rFonts w:hint="eastAsia"/>
        </w:rPr>
        <w:t>家施工单位，排查整改安全隐患</w:t>
      </w:r>
      <w:r>
        <w:rPr>
          <w:rFonts w:hint="eastAsia"/>
        </w:rPr>
        <w:t>4889</w:t>
      </w:r>
      <w:r>
        <w:rPr>
          <w:rFonts w:hint="eastAsia"/>
        </w:rPr>
        <w:t>项。</w:t>
      </w:r>
    </w:p>
    <w:p w:rsidR="00E65B52" w:rsidRDefault="00D033EA">
      <w:pPr>
        <w:ind w:firstLine="560"/>
      </w:pPr>
      <w:r>
        <w:rPr>
          <w:rFonts w:hint="eastAsia"/>
        </w:rPr>
        <w:t>10</w:t>
      </w:r>
      <w:r>
        <w:rPr>
          <w:rFonts w:hint="eastAsia"/>
        </w:rPr>
        <w:t>、职能十：承担推进科技进步、绿色建筑发展、建筑节能、城镇建筑减排的责任。会同有关部门制定全市建设科技发展规划、年度计划和技术经济政策并指导实施。会同有关部门拟订绿色建筑、智慧建筑和建筑节能的政策、规划并监督实施。组织建筑行业重大科技项目研究和重大建筑节能项目实施。组织开展重大科技项目攻关、科技成果转化、新技术开发、技术引进及新材料的推广和应用工作。推进建筑产业现代化。指导建筑能效测评和绿色建筑标识管理，得分</w:t>
      </w:r>
      <w:r>
        <w:rPr>
          <w:rFonts w:hint="eastAsia"/>
        </w:rPr>
        <w:t>2</w:t>
      </w:r>
      <w:r>
        <w:rPr>
          <w:rFonts w:hint="eastAsia"/>
        </w:rPr>
        <w:t>分。全市新增绿色建筑面积</w:t>
      </w:r>
      <w:r>
        <w:rPr>
          <w:rFonts w:hint="eastAsia"/>
        </w:rPr>
        <w:t>580.79</w:t>
      </w:r>
      <w:r>
        <w:rPr>
          <w:rFonts w:hint="eastAsia"/>
        </w:rPr>
        <w:t>万平方米，城镇绿色建筑占新建建筑比例为</w:t>
      </w:r>
      <w:r>
        <w:rPr>
          <w:rFonts w:hint="eastAsia"/>
        </w:rPr>
        <w:t>98.9%</w:t>
      </w:r>
      <w:r>
        <w:rPr>
          <w:rFonts w:hint="eastAsia"/>
        </w:rPr>
        <w:t>，获批省级能效提升示范项目</w:t>
      </w:r>
      <w:r>
        <w:rPr>
          <w:rFonts w:hint="eastAsia"/>
        </w:rPr>
        <w:t>2</w:t>
      </w:r>
      <w:r>
        <w:rPr>
          <w:rFonts w:hint="eastAsia"/>
        </w:rPr>
        <w:t>项，海州区、连云新城绿色建筑示范区完成验收。</w:t>
      </w:r>
    </w:p>
    <w:p w:rsidR="00E65B52" w:rsidRDefault="00D033EA">
      <w:pPr>
        <w:ind w:firstLine="560"/>
      </w:pPr>
      <w:r>
        <w:rPr>
          <w:rFonts w:hint="eastAsia"/>
        </w:rPr>
        <w:t>11</w:t>
      </w:r>
      <w:r>
        <w:rPr>
          <w:rFonts w:hint="eastAsia"/>
        </w:rPr>
        <w:t>、职能十一：负责编制城市人民防空建设发展中长期规划和人防工程专项规划。编制人民防空经费预算，依法筹集人民防空建设经费。监督人民防空工程建设参与主体行为。负责人民防空国有资产管理。负责城市地下空间开发利用中人民防空防护等事项的管理和监督检查工作。承担已建人民防空工程的维护、使用安全管理责任。制定</w:t>
      </w:r>
      <w:r>
        <w:rPr>
          <w:rFonts w:hint="eastAsia"/>
        </w:rPr>
        <w:lastRenderedPageBreak/>
        <w:t>全市人民防空宣传、教育计划并督促贯彻实施。拟订市人民防空指挥系统转入战时体制方案。指导制定城市防空袭方案和重要经济目标防护方案。组织制定城市人口疏散计划。组织人民防空演习。负责本市人民防空信息化及警报建设和管理工作。保障市委、市政府、军分区组织指挥全市人民防空行动，得分</w:t>
      </w:r>
      <w:r>
        <w:rPr>
          <w:rFonts w:hint="eastAsia"/>
        </w:rPr>
        <w:t>9</w:t>
      </w:r>
      <w:r>
        <w:rPr>
          <w:rFonts w:hint="eastAsia"/>
        </w:rPr>
        <w:t>分。制定印发《关于加强全市住建人防融合发展的指导意见（试行）》，推进住建人防高效融合。全市新立项人防工程</w:t>
      </w:r>
      <w:r>
        <w:rPr>
          <w:rFonts w:hint="eastAsia"/>
        </w:rPr>
        <w:t>51</w:t>
      </w:r>
      <w:r>
        <w:rPr>
          <w:rFonts w:hint="eastAsia"/>
        </w:rPr>
        <w:t>个，面积</w:t>
      </w:r>
      <w:r>
        <w:rPr>
          <w:rFonts w:hint="eastAsia"/>
        </w:rPr>
        <w:t>45.87</w:t>
      </w:r>
      <w:r>
        <w:rPr>
          <w:rFonts w:hint="eastAsia"/>
        </w:rPr>
        <w:t>万平方米，新开工</w:t>
      </w:r>
      <w:r>
        <w:rPr>
          <w:rFonts w:hint="eastAsia"/>
        </w:rPr>
        <w:t>47</w:t>
      </w:r>
      <w:r>
        <w:rPr>
          <w:rFonts w:hint="eastAsia"/>
        </w:rPr>
        <w:t>个，面积</w:t>
      </w:r>
      <w:r>
        <w:rPr>
          <w:rFonts w:hint="eastAsia"/>
        </w:rPr>
        <w:t>44.13</w:t>
      </w:r>
      <w:r>
        <w:rPr>
          <w:rFonts w:hint="eastAsia"/>
        </w:rPr>
        <w:t>万平方米，竣工备案</w:t>
      </w:r>
      <w:r>
        <w:rPr>
          <w:rFonts w:hint="eastAsia"/>
        </w:rPr>
        <w:t>23</w:t>
      </w:r>
      <w:r>
        <w:rPr>
          <w:rFonts w:hint="eastAsia"/>
        </w:rPr>
        <w:t>个，面积</w:t>
      </w:r>
      <w:r>
        <w:rPr>
          <w:rFonts w:hint="eastAsia"/>
        </w:rPr>
        <w:t>13.52</w:t>
      </w:r>
      <w:r>
        <w:rPr>
          <w:rFonts w:hint="eastAsia"/>
        </w:rPr>
        <w:t>万平方米，年底前完成</w:t>
      </w:r>
      <w:r>
        <w:rPr>
          <w:rFonts w:hint="eastAsia"/>
        </w:rPr>
        <w:t>20</w:t>
      </w:r>
      <w:r>
        <w:rPr>
          <w:rFonts w:hint="eastAsia"/>
        </w:rPr>
        <w:t>万平方米，新增人防车位</w:t>
      </w:r>
      <w:r>
        <w:rPr>
          <w:rFonts w:hint="eastAsia"/>
        </w:rPr>
        <w:t>3857</w:t>
      </w:r>
      <w:r>
        <w:rPr>
          <w:rFonts w:hint="eastAsia"/>
        </w:rPr>
        <w:t>个；展“港城人防在行动”主题活动，组织“</w:t>
      </w:r>
      <w:r>
        <w:rPr>
          <w:rFonts w:hint="eastAsia"/>
        </w:rPr>
        <w:t>9.18</w:t>
      </w:r>
      <w:r>
        <w:rPr>
          <w:rFonts w:hint="eastAsia"/>
        </w:rPr>
        <w:t>”防空警报统一试鸣活动，全市参加人员疏散、消除空袭后果等演练约</w:t>
      </w:r>
      <w:r>
        <w:rPr>
          <w:rFonts w:hint="eastAsia"/>
        </w:rPr>
        <w:t>10</w:t>
      </w:r>
      <w:r>
        <w:rPr>
          <w:rFonts w:hint="eastAsia"/>
        </w:rPr>
        <w:t>万人次。快速组建了抢险抢修、医疗救护、通信等</w:t>
      </w:r>
      <w:r>
        <w:rPr>
          <w:rFonts w:hint="eastAsia"/>
        </w:rPr>
        <w:t>11</w:t>
      </w:r>
      <w:r>
        <w:rPr>
          <w:rFonts w:hint="eastAsia"/>
        </w:rPr>
        <w:t>支人防专业队和</w:t>
      </w:r>
      <w:r>
        <w:rPr>
          <w:rFonts w:hint="eastAsia"/>
        </w:rPr>
        <w:t>1</w:t>
      </w:r>
      <w:r>
        <w:rPr>
          <w:rFonts w:hint="eastAsia"/>
        </w:rPr>
        <w:t>支人防志愿者，全员落实实名制，在全省专项工作中位居前列。</w:t>
      </w:r>
    </w:p>
    <w:p w:rsidR="00E65B52" w:rsidRDefault="00D033EA">
      <w:pPr>
        <w:ind w:firstLine="560"/>
      </w:pPr>
      <w:r>
        <w:rPr>
          <w:rFonts w:hint="eastAsia"/>
        </w:rPr>
        <w:t>12</w:t>
      </w:r>
      <w:r>
        <w:rPr>
          <w:rFonts w:hint="eastAsia"/>
        </w:rPr>
        <w:t>、职能十二：拟订监测台网规划。拟订市级防震减灾规划，编制年度防震减灾经费预算。划定地震监测环境保护范围，依法保护地震监测设施和地震观测环境。负责全市各类地震台网管理工作，建立健全地震信息共享平台。承担日常地震活动监测预报工作。根据地震监测信息研究结果，对可能发生地震的地点、时间和震级做出预测。组织做好震情跟踪、流动观测和可能与地震有关的异常现象观测以及群测群防工作。承担全市震害防御管理工作。监督管理以地震烈度或地震动参数表述的抗震设防要求执行情况、地震安全性评价工作，得分</w:t>
      </w:r>
      <w:r>
        <w:rPr>
          <w:rFonts w:hint="eastAsia"/>
        </w:rPr>
        <w:t>6</w:t>
      </w:r>
      <w:r>
        <w:rPr>
          <w:rFonts w:hint="eastAsia"/>
        </w:rPr>
        <w:t>分。加强地震宏观观测点管理、地震监测台站建设，在</w:t>
      </w:r>
      <w:r>
        <w:rPr>
          <w:rFonts w:hint="eastAsia"/>
        </w:rPr>
        <w:t>2020</w:t>
      </w:r>
      <w:r>
        <w:rPr>
          <w:rFonts w:hint="eastAsia"/>
        </w:rPr>
        <w:t>年</w:t>
      </w:r>
      <w:r>
        <w:rPr>
          <w:rFonts w:hint="eastAsia"/>
        </w:rPr>
        <w:lastRenderedPageBreak/>
        <w:t>度全国地震观测资料“钻孔应变观测台站”评比中，连云港地震台被评为三等奖；在“省属地震台站观测资料”项目评比中，被评为全省第一名。完成陆上</w:t>
      </w:r>
      <w:r>
        <w:rPr>
          <w:rFonts w:hint="eastAsia"/>
        </w:rPr>
        <w:t>5</w:t>
      </w:r>
      <w:r>
        <w:rPr>
          <w:rFonts w:hint="eastAsia"/>
        </w:rPr>
        <w:t>个基准站和</w:t>
      </w:r>
      <w:r>
        <w:rPr>
          <w:rFonts w:hint="eastAsia"/>
        </w:rPr>
        <w:t>3</w:t>
      </w:r>
      <w:r>
        <w:rPr>
          <w:rFonts w:hint="eastAsia"/>
        </w:rPr>
        <w:t>个基本站的国家烈度速报和预警设备的安装及初步调试。严格落实地震台站县区级日常维护、市级季度巡检等工作制度，开展“</w:t>
      </w:r>
      <w:r>
        <w:rPr>
          <w:rFonts w:hint="eastAsia"/>
        </w:rPr>
        <w:t>5.12</w:t>
      </w:r>
      <w:r>
        <w:rPr>
          <w:rFonts w:hint="eastAsia"/>
        </w:rPr>
        <w:t>防灾减灾日”，组织师生</w:t>
      </w:r>
      <w:r>
        <w:rPr>
          <w:rFonts w:hint="eastAsia"/>
        </w:rPr>
        <w:t>6000</w:t>
      </w:r>
      <w:r>
        <w:rPr>
          <w:rFonts w:hint="eastAsia"/>
        </w:rPr>
        <w:t>余人开展防灾减灾疏散演练活动，增强了防护自救能力。新建防灾避难场所</w:t>
      </w:r>
      <w:r>
        <w:rPr>
          <w:rFonts w:hint="eastAsia"/>
        </w:rPr>
        <w:t>5</w:t>
      </w:r>
      <w:r>
        <w:rPr>
          <w:rFonts w:hint="eastAsia"/>
        </w:rPr>
        <w:t>个，全市建成防灾避难场所</w:t>
      </w:r>
      <w:r>
        <w:rPr>
          <w:rFonts w:hint="eastAsia"/>
        </w:rPr>
        <w:t>21</w:t>
      </w:r>
      <w:r>
        <w:rPr>
          <w:rFonts w:hint="eastAsia"/>
        </w:rPr>
        <w:t>个。</w:t>
      </w:r>
    </w:p>
    <w:p w:rsidR="00E65B52" w:rsidRDefault="00D033EA">
      <w:pPr>
        <w:ind w:firstLine="560"/>
      </w:pPr>
      <w:r>
        <w:rPr>
          <w:rFonts w:hint="eastAsia"/>
        </w:rPr>
        <w:t>13</w:t>
      </w:r>
      <w:r>
        <w:rPr>
          <w:rFonts w:hint="eastAsia"/>
        </w:rPr>
        <w:t>、</w:t>
      </w:r>
      <w:r>
        <w:t>职能十</w:t>
      </w:r>
      <w:r>
        <w:rPr>
          <w:rFonts w:hint="eastAsia"/>
        </w:rPr>
        <w:t>三</w:t>
      </w:r>
      <w:r>
        <w:t>：负责全市住房和城乡建设行业安全生产的监督管理，参与有关事故的调查处理及应急管理工作。组织开展行业安全生产检查和专项督查。推进本行业安全生产标准化建设，得分</w:t>
      </w:r>
      <w:r>
        <w:rPr>
          <w:rFonts w:hint="eastAsia"/>
        </w:rPr>
        <w:t>6</w:t>
      </w:r>
      <w:r>
        <w:t>分。调整优化局安全生产监管委员会，增设消防安全分委会</w:t>
      </w:r>
      <w:r>
        <w:rPr>
          <w:rFonts w:hint="eastAsia"/>
        </w:rPr>
        <w:t>。强化城镇燃气行业综合治理，检查液化石油气储配站等燃气场站</w:t>
      </w:r>
      <w:r>
        <w:rPr>
          <w:rFonts w:hint="eastAsia"/>
        </w:rPr>
        <w:t>412</w:t>
      </w:r>
      <w:r>
        <w:rPr>
          <w:rFonts w:hint="eastAsia"/>
        </w:rPr>
        <w:t>次，发现并整改隐患</w:t>
      </w:r>
      <w:r>
        <w:rPr>
          <w:rFonts w:hint="eastAsia"/>
        </w:rPr>
        <w:t>1982</w:t>
      </w:r>
      <w:r>
        <w:rPr>
          <w:rFonts w:hint="eastAsia"/>
        </w:rPr>
        <w:t>项，责令停产停业</w:t>
      </w:r>
      <w:r>
        <w:rPr>
          <w:rFonts w:hint="eastAsia"/>
        </w:rPr>
        <w:t>4</w:t>
      </w:r>
      <w:r>
        <w:rPr>
          <w:rFonts w:hint="eastAsia"/>
        </w:rPr>
        <w:t>家，关闭取缔</w:t>
      </w:r>
      <w:r>
        <w:rPr>
          <w:rFonts w:hint="eastAsia"/>
        </w:rPr>
        <w:t>19</w:t>
      </w:r>
      <w:r>
        <w:rPr>
          <w:rFonts w:hint="eastAsia"/>
        </w:rPr>
        <w:t>家，燃气老旧管网改造</w:t>
      </w:r>
      <w:r>
        <w:rPr>
          <w:rFonts w:hint="eastAsia"/>
        </w:rPr>
        <w:t>57.55</w:t>
      </w:r>
      <w:r>
        <w:rPr>
          <w:rFonts w:hint="eastAsia"/>
        </w:rPr>
        <w:t>公里。各类管网运行总里程达</w:t>
      </w:r>
      <w:r>
        <w:rPr>
          <w:rFonts w:hint="eastAsia"/>
        </w:rPr>
        <w:t>31299.86</w:t>
      </w:r>
      <w:r>
        <w:rPr>
          <w:rFonts w:hint="eastAsia"/>
        </w:rPr>
        <w:t>公里，动态排查</w:t>
      </w:r>
      <w:r>
        <w:rPr>
          <w:rFonts w:hint="eastAsia"/>
        </w:rPr>
        <w:t>100%</w:t>
      </w:r>
      <w:r>
        <w:rPr>
          <w:rFonts w:hint="eastAsia"/>
        </w:rPr>
        <w:t>，排查整改隐患</w:t>
      </w:r>
      <w:r>
        <w:rPr>
          <w:rFonts w:hint="eastAsia"/>
        </w:rPr>
        <w:t>1404</w:t>
      </w:r>
      <w:r>
        <w:rPr>
          <w:rFonts w:hint="eastAsia"/>
        </w:rPr>
        <w:t>项</w:t>
      </w:r>
      <w:r>
        <w:t>。</w:t>
      </w:r>
    </w:p>
    <w:p w:rsidR="00E65B52" w:rsidRDefault="00D033EA">
      <w:pPr>
        <w:ind w:firstLine="560"/>
      </w:pPr>
      <w:r>
        <w:rPr>
          <w:rFonts w:hint="eastAsia"/>
        </w:rPr>
        <w:t>14</w:t>
      </w:r>
      <w:r>
        <w:rPr>
          <w:rFonts w:hint="eastAsia"/>
        </w:rPr>
        <w:t>、职能十四：指导全市住房和城乡建设行业的人才培养、职业教育、执业资格考试与注册管理工作。指导住房和城乡建设档案工作。组织对外交流与合作，得分</w:t>
      </w:r>
      <w:r>
        <w:rPr>
          <w:rFonts w:hint="eastAsia"/>
        </w:rPr>
        <w:t>1</w:t>
      </w:r>
      <w:r>
        <w:rPr>
          <w:rFonts w:hint="eastAsia"/>
        </w:rPr>
        <w:t>分。组织开展市住建局青年干部专题培训班，加强人才队伍建设。</w:t>
      </w:r>
    </w:p>
    <w:p w:rsidR="00E65B52" w:rsidRDefault="00D033EA">
      <w:pPr>
        <w:ind w:firstLine="560"/>
      </w:pPr>
      <w:r>
        <w:rPr>
          <w:rFonts w:hint="eastAsia"/>
        </w:rPr>
        <w:t>15</w:t>
      </w:r>
      <w:r>
        <w:rPr>
          <w:rFonts w:hint="eastAsia"/>
        </w:rPr>
        <w:t>、职能十五：完成市委、市政府交办的其他任务，得分</w:t>
      </w:r>
      <w:r>
        <w:rPr>
          <w:rFonts w:hint="eastAsia"/>
        </w:rPr>
        <w:t>2</w:t>
      </w:r>
      <w:r>
        <w:rPr>
          <w:rFonts w:hint="eastAsia"/>
        </w:rPr>
        <w:t>分。紧扣党史学习教育部署安排，坚持学深悟透践行，组织开展党委理论中心组集中学习</w:t>
      </w:r>
      <w:r>
        <w:rPr>
          <w:rFonts w:hint="eastAsia"/>
        </w:rPr>
        <w:t>20</w:t>
      </w:r>
      <w:r>
        <w:rPr>
          <w:rFonts w:hint="eastAsia"/>
        </w:rPr>
        <w:t>批次，荣获全市“颂歌献给党”歌咏比赛乙组一</w:t>
      </w:r>
      <w:r>
        <w:rPr>
          <w:rFonts w:hint="eastAsia"/>
        </w:rPr>
        <w:lastRenderedPageBreak/>
        <w:t>等奖第一名和优秀组织奖。</w:t>
      </w:r>
    </w:p>
    <w:p w:rsidR="00E65B52" w:rsidRDefault="00D033EA">
      <w:pPr>
        <w:ind w:firstLine="560"/>
      </w:pPr>
      <w:r>
        <w:rPr>
          <w:rFonts w:hint="eastAsia"/>
        </w:rPr>
        <w:t>16</w:t>
      </w:r>
      <w:r>
        <w:rPr>
          <w:rFonts w:hint="eastAsia"/>
        </w:rPr>
        <w:t>、履职效果，得分</w:t>
      </w:r>
      <w:r>
        <w:rPr>
          <w:rFonts w:hint="eastAsia"/>
        </w:rPr>
        <w:t>5</w:t>
      </w:r>
      <w:r>
        <w:rPr>
          <w:rFonts w:hint="eastAsia"/>
        </w:rPr>
        <w:t>分。回顾</w:t>
      </w:r>
      <w:r>
        <w:rPr>
          <w:rFonts w:hint="eastAsia"/>
        </w:rPr>
        <w:t>2021</w:t>
      </w:r>
      <w:r>
        <w:rPr>
          <w:rFonts w:hint="eastAsia"/>
        </w:rPr>
        <w:t>年我局获得了以下荣誉：灌南县盐河片区公园绿地体系化建设项目获批</w:t>
      </w:r>
      <w:r>
        <w:rPr>
          <w:rFonts w:hint="eastAsia"/>
        </w:rPr>
        <w:t>2021</w:t>
      </w:r>
      <w:r>
        <w:rPr>
          <w:rFonts w:hint="eastAsia"/>
        </w:rPr>
        <w:t>年江苏省园林绿化示范项目（全省仅</w:t>
      </w:r>
      <w:r>
        <w:rPr>
          <w:rFonts w:hint="eastAsia"/>
        </w:rPr>
        <w:t>10</w:t>
      </w:r>
      <w:r>
        <w:rPr>
          <w:rFonts w:hint="eastAsia"/>
        </w:rPr>
        <w:t>项）；全市</w:t>
      </w:r>
      <w:r>
        <w:rPr>
          <w:rFonts w:hint="eastAsia"/>
        </w:rPr>
        <w:t>20</w:t>
      </w:r>
      <w:r>
        <w:rPr>
          <w:rFonts w:hint="eastAsia"/>
        </w:rPr>
        <w:t>个物管项目获得省级示范表彰，整体数量位列全省第四，苏北第一；创成国家级“鲁班奖”</w:t>
      </w:r>
      <w:r>
        <w:rPr>
          <w:rFonts w:hint="eastAsia"/>
        </w:rPr>
        <w:t>1</w:t>
      </w:r>
      <w:r>
        <w:rPr>
          <w:rFonts w:hint="eastAsia"/>
        </w:rPr>
        <w:t>项；花果山机场项目被评为“国家</w:t>
      </w:r>
      <w:r>
        <w:rPr>
          <w:rFonts w:hint="eastAsia"/>
        </w:rPr>
        <w:t>AAA</w:t>
      </w:r>
      <w:r>
        <w:rPr>
          <w:rFonts w:hint="eastAsia"/>
        </w:rPr>
        <w:t>级安全文明标准化诚信工地”；成功申报江苏省建筑工程绿色智慧示范片区</w:t>
      </w:r>
      <w:r>
        <w:rPr>
          <w:rFonts w:hint="eastAsia"/>
        </w:rPr>
        <w:t>2</w:t>
      </w:r>
      <w:r>
        <w:rPr>
          <w:rFonts w:hint="eastAsia"/>
        </w:rPr>
        <w:t>个。</w:t>
      </w:r>
    </w:p>
    <w:p w:rsidR="00E65B52" w:rsidRDefault="00D033EA">
      <w:pPr>
        <w:pStyle w:val="1"/>
        <w:ind w:firstLine="643"/>
        <w:rPr>
          <w:bCs/>
          <w:szCs w:val="32"/>
        </w:rPr>
      </w:pPr>
      <w:bookmarkStart w:id="17" w:name="_Toc1315"/>
      <w:bookmarkStart w:id="18" w:name="_Toc19718"/>
      <w:r>
        <w:rPr>
          <w:rFonts w:hint="eastAsia"/>
        </w:rPr>
        <w:t>4</w:t>
      </w:r>
      <w:r>
        <w:rPr>
          <w:rFonts w:hint="eastAsia"/>
        </w:rPr>
        <w:t>、需要说明事项</w:t>
      </w:r>
      <w:bookmarkEnd w:id="17"/>
      <w:bookmarkEnd w:id="18"/>
    </w:p>
    <w:p w:rsidR="00E65B52" w:rsidRDefault="00D033EA">
      <w:pPr>
        <w:ind w:firstLine="560"/>
        <w:rPr>
          <w:b/>
          <w:bCs/>
          <w:szCs w:val="32"/>
        </w:rPr>
      </w:pPr>
      <w:r>
        <w:rPr>
          <w:rFonts w:hint="eastAsia"/>
        </w:rPr>
        <w:t>无需要说明事项。</w:t>
      </w:r>
    </w:p>
    <w:p w:rsidR="00E65B52" w:rsidRDefault="00D033EA">
      <w:pPr>
        <w:pStyle w:val="1"/>
        <w:ind w:firstLine="643"/>
        <w:rPr>
          <w:bCs/>
          <w:szCs w:val="32"/>
        </w:rPr>
      </w:pPr>
      <w:bookmarkStart w:id="19" w:name="_Toc2103"/>
      <w:bookmarkStart w:id="20" w:name="_Toc13490"/>
      <w:r>
        <w:rPr>
          <w:rFonts w:hint="eastAsia"/>
        </w:rPr>
        <w:t>5</w:t>
      </w:r>
      <w:r>
        <w:rPr>
          <w:rFonts w:hint="eastAsia"/>
        </w:rPr>
        <w:t>、绩效评价结论</w:t>
      </w:r>
      <w:bookmarkEnd w:id="19"/>
      <w:bookmarkEnd w:id="20"/>
    </w:p>
    <w:p w:rsidR="00E65B52" w:rsidRDefault="00D033EA">
      <w:pPr>
        <w:pStyle w:val="2"/>
        <w:ind w:firstLine="643"/>
        <w:rPr>
          <w:bCs/>
          <w:szCs w:val="32"/>
        </w:rPr>
      </w:pPr>
      <w:bookmarkStart w:id="21" w:name="_Toc30669"/>
      <w:bookmarkStart w:id="22" w:name="_Toc14567"/>
      <w:r>
        <w:rPr>
          <w:rFonts w:hint="eastAsia"/>
        </w:rPr>
        <w:t>5.1</w:t>
      </w:r>
      <w:r>
        <w:rPr>
          <w:rFonts w:hint="eastAsia"/>
        </w:rPr>
        <w:t>、绩效评价得分</w:t>
      </w:r>
      <w:bookmarkEnd w:id="21"/>
      <w:bookmarkEnd w:id="22"/>
    </w:p>
    <w:p w:rsidR="00E65B52" w:rsidRDefault="00D033EA">
      <w:pPr>
        <w:ind w:firstLine="560"/>
      </w:pPr>
      <w:r>
        <w:rPr>
          <w:rFonts w:hint="eastAsia"/>
        </w:rPr>
        <w:t>本次部门整体绩效得分为</w:t>
      </w:r>
      <w:r>
        <w:rPr>
          <w:rFonts w:hint="eastAsia"/>
        </w:rPr>
        <w:t>93</w:t>
      </w:r>
      <w:r>
        <w:rPr>
          <w:rFonts w:hint="eastAsia"/>
        </w:rPr>
        <w:t>分。按照相关财政支出绩效自评暂行办法对本部门整体支出绩效进行了自查自评，通过加强组织领导和统筹协调，完善绩效评价指标体系，落实主体责任，强化运行跟踪和监控管理。</w:t>
      </w:r>
    </w:p>
    <w:p w:rsidR="00E65B52" w:rsidRDefault="00D033EA">
      <w:pPr>
        <w:pStyle w:val="2"/>
        <w:ind w:firstLine="643"/>
      </w:pPr>
      <w:bookmarkStart w:id="23" w:name="_Toc22163"/>
      <w:bookmarkStart w:id="24" w:name="_Toc26817"/>
      <w:r>
        <w:rPr>
          <w:rFonts w:hint="eastAsia"/>
        </w:rPr>
        <w:t>5.2</w:t>
      </w:r>
      <w:r>
        <w:rPr>
          <w:rFonts w:hint="eastAsia"/>
        </w:rPr>
        <w:t>、存在绩效问题</w:t>
      </w:r>
      <w:bookmarkEnd w:id="23"/>
      <w:bookmarkEnd w:id="24"/>
    </w:p>
    <w:p w:rsidR="00E65B52" w:rsidRDefault="00D033EA" w:rsidP="00273632">
      <w:pPr>
        <w:ind w:firstLine="560"/>
      </w:pPr>
      <w:r>
        <w:rPr>
          <w:rFonts w:hint="eastAsia"/>
        </w:rPr>
        <w:t>绩效评价过程与预算编制、执行相结合的工作机制和部门协调机制有待完善。基于科学分类的绩效标准的缺失，分析方法的单一，都影响了绩效管理工作的科学性和规范性。部分项目计划编制不够精确，在执行过程中存在预算执行欠进度情况。</w:t>
      </w:r>
    </w:p>
    <w:p w:rsidR="00E65B52" w:rsidRDefault="00D033EA">
      <w:pPr>
        <w:pStyle w:val="1"/>
        <w:ind w:firstLine="643"/>
        <w:rPr>
          <w:bCs/>
          <w:szCs w:val="32"/>
        </w:rPr>
      </w:pPr>
      <w:bookmarkStart w:id="25" w:name="_Toc6504"/>
      <w:bookmarkStart w:id="26" w:name="_Toc10671"/>
      <w:r>
        <w:rPr>
          <w:rFonts w:hint="eastAsia"/>
        </w:rPr>
        <w:lastRenderedPageBreak/>
        <w:t>6</w:t>
      </w:r>
      <w:r>
        <w:rPr>
          <w:rFonts w:hint="eastAsia"/>
        </w:rPr>
        <w:t>、经验教训与建议</w:t>
      </w:r>
      <w:bookmarkEnd w:id="25"/>
      <w:bookmarkEnd w:id="26"/>
    </w:p>
    <w:p w:rsidR="00E65B52" w:rsidRDefault="00D033EA">
      <w:pPr>
        <w:pStyle w:val="2"/>
        <w:ind w:firstLine="643"/>
      </w:pPr>
      <w:bookmarkStart w:id="27" w:name="_Toc29952"/>
      <w:bookmarkStart w:id="28" w:name="_Toc27393"/>
      <w:r>
        <w:rPr>
          <w:rFonts w:hint="eastAsia"/>
        </w:rPr>
        <w:t>6.1</w:t>
      </w:r>
      <w:r>
        <w:rPr>
          <w:rFonts w:hint="eastAsia"/>
        </w:rPr>
        <w:t>、经验教训</w:t>
      </w:r>
      <w:bookmarkEnd w:id="27"/>
      <w:bookmarkEnd w:id="28"/>
    </w:p>
    <w:p w:rsidR="00E65B52" w:rsidRDefault="00D033EA" w:rsidP="00273632">
      <w:pPr>
        <w:ind w:firstLine="560"/>
      </w:pPr>
      <w:r>
        <w:rPr>
          <w:rFonts w:hint="eastAsia"/>
        </w:rPr>
        <w:t>通过对</w:t>
      </w:r>
      <w:r>
        <w:rPr>
          <w:rFonts w:hint="eastAsia"/>
        </w:rPr>
        <w:t>2021</w:t>
      </w:r>
      <w:r>
        <w:rPr>
          <w:rFonts w:hint="eastAsia"/>
        </w:rPr>
        <w:t>年度本部门整体支出绩效自评，我们充分认识到推进预算绩效管理的重要意义：全面推进预算绩效管理，是财政科学化、精细化管理需要；部门预算应当遵循统筹兼顾、勤俭节约、量力而行、讲求绩效和收支平衡的原则。要结合本部门年度的发展计划、职责和任务科学合理地编制部门预算；本部门本年度预算编制与决算支出项目存在一定的差异；在抓好财政支出工作的同时，要更加注重产出及效率，力求优化资源配置、控制成本、提高公共产品质量和公共服务水平的目的。同时在财务管理方面需进一步完善财务管理制度并让制度执行落地，加强财务管理专业的培训提高财务人员专业知识水平，以提升财务管控能力。</w:t>
      </w:r>
    </w:p>
    <w:p w:rsidR="00E65B52" w:rsidRDefault="00D033EA">
      <w:pPr>
        <w:pStyle w:val="2"/>
        <w:ind w:firstLine="643"/>
        <w:rPr>
          <w:bCs/>
          <w:szCs w:val="32"/>
        </w:rPr>
      </w:pPr>
      <w:bookmarkStart w:id="29" w:name="_Toc7237"/>
      <w:bookmarkStart w:id="30" w:name="_Toc20220"/>
      <w:r>
        <w:rPr>
          <w:rFonts w:hint="eastAsia"/>
        </w:rPr>
        <w:t>6.2</w:t>
      </w:r>
      <w:r>
        <w:rPr>
          <w:rFonts w:hint="eastAsia"/>
        </w:rPr>
        <w:t>、建议</w:t>
      </w:r>
      <w:bookmarkEnd w:id="29"/>
      <w:bookmarkEnd w:id="30"/>
    </w:p>
    <w:p w:rsidR="00E65B52" w:rsidRDefault="00D033EA">
      <w:pPr>
        <w:ind w:firstLine="560"/>
      </w:pPr>
      <w:r>
        <w:rPr>
          <w:rFonts w:hint="eastAsia"/>
        </w:rPr>
        <w:t>为了进一步提高本部门整体绩效水平，在预算编制和预算执行过程中，提出如下建议：</w:t>
      </w:r>
    </w:p>
    <w:p w:rsidR="00E65B52" w:rsidRDefault="00D033EA">
      <w:pPr>
        <w:ind w:firstLine="560"/>
      </w:pPr>
      <w:r>
        <w:rPr>
          <w:rFonts w:hint="eastAsia"/>
        </w:rPr>
        <w:t>（一）进一步加强预算资金管理。一是提高预算编制水平。建立以绩效为导向的预算编制模式，实现部门职责、年度计划和预算资金之间的有机衔接，其中专项资金部分应着重加强对测算依据的调查研究和分析论证工作，提高预算编制的科学性和合理性水平。二是做好绩效运行双监控。在执行过程中应对照设定的预算绩效目标，定期对履职状况和资金进度进行梳理，确保各项目标任务保质保量完成，强化预算执行刚性。在进度明显异常的情况下，应及时商财政部门并进</w:t>
      </w:r>
      <w:r>
        <w:rPr>
          <w:rFonts w:hint="eastAsia"/>
        </w:rPr>
        <w:lastRenderedPageBreak/>
        <w:t>行恰当处理。</w:t>
      </w:r>
    </w:p>
    <w:p w:rsidR="00E65B52" w:rsidRDefault="00D033EA">
      <w:pPr>
        <w:ind w:firstLine="560"/>
      </w:pPr>
      <w:r>
        <w:rPr>
          <w:rFonts w:hint="eastAsia"/>
        </w:rPr>
        <w:t>（二）加大对连云港市住房和城乡建设局部门的预算支持力度，保障业务项目的实施、运行。</w:t>
      </w:r>
    </w:p>
    <w:p w:rsidR="00E65B52" w:rsidRDefault="00D033EA">
      <w:pPr>
        <w:ind w:firstLine="560"/>
        <w:sectPr w:rsidR="00E65B52">
          <w:footerReference w:type="default" r:id="rId15"/>
          <w:pgSz w:w="11906" w:h="16838"/>
          <w:pgMar w:top="1440" w:right="1800" w:bottom="1440" w:left="1800" w:header="851" w:footer="992" w:gutter="0"/>
          <w:pgNumType w:start="1"/>
          <w:cols w:space="425"/>
          <w:docGrid w:type="lines" w:linePitch="312"/>
        </w:sectPr>
      </w:pPr>
      <w:r>
        <w:rPr>
          <w:rFonts w:hint="eastAsia"/>
        </w:rPr>
        <w:t>（三）建立健全住建系统内控体系，建设符合住建系统管理需要的内控信息化系统，实现资金从预算编制、预算执行、会计核算、决算全过程管理。建立预算绩效管理系统，涵盖项目库，实现从项目立项、绩效目标编制、绩效运行监控到绩效评价的全过程管理。</w:t>
      </w:r>
    </w:p>
    <w:p w:rsidR="00E65B52" w:rsidRDefault="00D033EA">
      <w:pPr>
        <w:ind w:firstLineChars="0" w:firstLine="0"/>
      </w:pPr>
      <w:bookmarkStart w:id="31" w:name="_Toc6764"/>
      <w:bookmarkStart w:id="32" w:name="_Toc10735"/>
      <w:r>
        <w:rPr>
          <w:rFonts w:hint="eastAsia"/>
        </w:rPr>
        <w:lastRenderedPageBreak/>
        <w:t>附：部门整体绩效评价指标评分表</w:t>
      </w:r>
      <w:bookmarkEnd w:id="31"/>
      <w:bookmarkEnd w:id="32"/>
    </w:p>
    <w:tbl>
      <w:tblPr>
        <w:tblpPr w:leftFromText="180" w:rightFromText="180" w:vertAnchor="text" w:tblpXSpec="center" w:tblpY="1"/>
        <w:tblOverlap w:val="never"/>
        <w:tblW w:w="14376" w:type="dxa"/>
        <w:jc w:val="center"/>
        <w:tblLayout w:type="fixed"/>
        <w:tblLook w:val="04A0"/>
      </w:tblPr>
      <w:tblGrid>
        <w:gridCol w:w="1092"/>
        <w:gridCol w:w="5772"/>
        <w:gridCol w:w="3312"/>
        <w:gridCol w:w="864"/>
        <w:gridCol w:w="1229"/>
        <w:gridCol w:w="1267"/>
        <w:gridCol w:w="840"/>
      </w:tblGrid>
      <w:tr w:rsidR="00E65B52">
        <w:trPr>
          <w:trHeight w:val="720"/>
          <w:jc w:val="center"/>
        </w:trPr>
        <w:tc>
          <w:tcPr>
            <w:tcW w:w="14376" w:type="dxa"/>
            <w:gridSpan w:val="7"/>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rsidP="00273632">
            <w:pPr>
              <w:ind w:firstLine="482"/>
              <w:jc w:val="center"/>
              <w:rPr>
                <w:rFonts w:ascii="宋体" w:hAnsi="宋体"/>
                <w:b/>
                <w:color w:val="000000"/>
                <w:sz w:val="24"/>
              </w:rPr>
            </w:pPr>
            <w:r>
              <w:rPr>
                <w:rFonts w:ascii="宋体" w:hAnsi="宋体" w:hint="eastAsia"/>
                <w:b/>
                <w:color w:val="000000"/>
                <w:sz w:val="24"/>
              </w:rPr>
              <w:t>连云港市住房和城乡建设局绩效评价指标评分表</w:t>
            </w:r>
          </w:p>
        </w:tc>
      </w:tr>
      <w:tr w:rsidR="00E65B52">
        <w:trPr>
          <w:trHeight w:val="700"/>
          <w:jc w:val="center"/>
        </w:trPr>
        <w:tc>
          <w:tcPr>
            <w:tcW w:w="1092" w:type="dxa"/>
            <w:tcBorders>
              <w:top w:val="nil"/>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b/>
                <w:color w:val="000000"/>
                <w:sz w:val="24"/>
              </w:rPr>
            </w:pPr>
            <w:r>
              <w:rPr>
                <w:rFonts w:ascii="宋体" w:hAnsi="宋体" w:hint="eastAsia"/>
                <w:b/>
                <w:color w:val="000000"/>
                <w:sz w:val="24"/>
              </w:rPr>
              <w:t>一级指标</w:t>
            </w:r>
          </w:p>
        </w:tc>
        <w:tc>
          <w:tcPr>
            <w:tcW w:w="5772" w:type="dxa"/>
            <w:tcBorders>
              <w:top w:val="nil"/>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b/>
                <w:color w:val="000000"/>
                <w:sz w:val="24"/>
              </w:rPr>
            </w:pPr>
            <w:r>
              <w:rPr>
                <w:rFonts w:ascii="宋体" w:hAnsi="宋体" w:hint="eastAsia"/>
                <w:b/>
                <w:color w:val="000000"/>
                <w:sz w:val="24"/>
              </w:rPr>
              <w:t>二级指标</w:t>
            </w:r>
          </w:p>
        </w:tc>
        <w:tc>
          <w:tcPr>
            <w:tcW w:w="3312" w:type="dxa"/>
            <w:tcBorders>
              <w:top w:val="nil"/>
              <w:left w:val="single" w:sz="6" w:space="0" w:color="auto"/>
              <w:bottom w:val="single" w:sz="6" w:space="0" w:color="auto"/>
              <w:right w:val="single" w:sz="6" w:space="0" w:color="auto"/>
              <w:tl2br w:val="nil"/>
              <w:tr2bl w:val="nil"/>
            </w:tcBorders>
            <w:noWrap/>
            <w:vAlign w:val="center"/>
          </w:tcPr>
          <w:p w:rsidR="00E65B52" w:rsidRDefault="00D033EA" w:rsidP="00273632">
            <w:pPr>
              <w:ind w:firstLine="482"/>
              <w:jc w:val="center"/>
              <w:rPr>
                <w:rFonts w:ascii="宋体" w:hAnsi="宋体"/>
                <w:b/>
                <w:color w:val="000000"/>
                <w:sz w:val="24"/>
              </w:rPr>
            </w:pPr>
            <w:r>
              <w:rPr>
                <w:rFonts w:ascii="宋体" w:hAnsi="宋体" w:hint="eastAsia"/>
                <w:b/>
                <w:color w:val="000000"/>
                <w:sz w:val="24"/>
              </w:rPr>
              <w:t>三级指标</w:t>
            </w:r>
          </w:p>
        </w:tc>
        <w:tc>
          <w:tcPr>
            <w:tcW w:w="864" w:type="dxa"/>
            <w:tcBorders>
              <w:top w:val="nil"/>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b/>
                <w:color w:val="000000"/>
                <w:sz w:val="24"/>
              </w:rPr>
            </w:pPr>
            <w:r>
              <w:rPr>
                <w:rFonts w:ascii="宋体" w:hAnsi="宋体" w:hint="eastAsia"/>
                <w:b/>
                <w:color w:val="000000"/>
                <w:sz w:val="24"/>
              </w:rPr>
              <w:t>权重</w:t>
            </w:r>
          </w:p>
        </w:tc>
        <w:tc>
          <w:tcPr>
            <w:tcW w:w="1229" w:type="dxa"/>
            <w:tcBorders>
              <w:top w:val="nil"/>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b/>
                <w:color w:val="000000"/>
                <w:sz w:val="24"/>
              </w:rPr>
            </w:pPr>
            <w:r>
              <w:rPr>
                <w:rFonts w:ascii="宋体" w:hAnsi="宋体" w:hint="eastAsia"/>
                <w:b/>
                <w:color w:val="000000"/>
                <w:sz w:val="24"/>
              </w:rPr>
              <w:t>目标值</w:t>
            </w:r>
          </w:p>
        </w:tc>
        <w:tc>
          <w:tcPr>
            <w:tcW w:w="1267" w:type="dxa"/>
            <w:tcBorders>
              <w:top w:val="nil"/>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b/>
                <w:color w:val="000000"/>
                <w:sz w:val="24"/>
              </w:rPr>
            </w:pPr>
            <w:r>
              <w:rPr>
                <w:rFonts w:ascii="宋体" w:hAnsi="宋体" w:hint="eastAsia"/>
                <w:b/>
                <w:color w:val="000000"/>
                <w:sz w:val="24"/>
              </w:rPr>
              <w:t>完成值</w:t>
            </w:r>
          </w:p>
        </w:tc>
        <w:tc>
          <w:tcPr>
            <w:tcW w:w="840" w:type="dxa"/>
            <w:tcBorders>
              <w:top w:val="nil"/>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b/>
                <w:color w:val="000000"/>
                <w:sz w:val="24"/>
              </w:rPr>
            </w:pPr>
            <w:r>
              <w:rPr>
                <w:rFonts w:ascii="宋体" w:hAnsi="宋体" w:hint="eastAsia"/>
                <w:b/>
                <w:color w:val="000000"/>
                <w:sz w:val="24"/>
              </w:rPr>
              <w:t>得分</w:t>
            </w:r>
          </w:p>
        </w:tc>
      </w:tr>
      <w:tr w:rsidR="00E65B52">
        <w:trPr>
          <w:trHeight w:val="312"/>
          <w:jc w:val="center"/>
        </w:trPr>
        <w:tc>
          <w:tcPr>
            <w:tcW w:w="1092" w:type="dxa"/>
            <w:vMerge w:val="restart"/>
            <w:tcBorders>
              <w:top w:val="single" w:sz="6" w:space="0" w:color="auto"/>
              <w:left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内部管理（20分）</w:t>
            </w:r>
          </w:p>
        </w:tc>
        <w:tc>
          <w:tcPr>
            <w:tcW w:w="5772" w:type="dxa"/>
            <w:vMerge w:val="restart"/>
            <w:tcBorders>
              <w:top w:val="single" w:sz="6" w:space="0" w:color="auto"/>
              <w:left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决策管理</w:t>
            </w: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中长期规划</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有</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有</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31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tcBorders>
              <w:left w:val="single" w:sz="6" w:space="0" w:color="auto"/>
              <w:bottom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年度工作计划</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有</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有</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31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val="restart"/>
            <w:tcBorders>
              <w:top w:val="single" w:sz="6" w:space="0" w:color="auto"/>
              <w:left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人员管理</w:t>
            </w: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财政供养人员控制情况</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合规</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合规</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31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人事管理制度建设</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健全</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健全</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31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tcBorders>
              <w:left w:val="single" w:sz="6" w:space="0" w:color="auto"/>
              <w:bottom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工作人员学习与培训</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达标</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达标</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0.5</w:t>
            </w:r>
          </w:p>
        </w:tc>
      </w:tr>
      <w:tr w:rsidR="00E65B52">
        <w:trPr>
          <w:trHeight w:val="31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val="restart"/>
            <w:tcBorders>
              <w:top w:val="single" w:sz="6" w:space="0" w:color="auto"/>
              <w:left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资金及资产管理</w:t>
            </w: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财务管理规范性</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规范</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规范</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31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支出调整预算执行率</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31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专款专用率</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31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政府采购情况</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合规</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合规</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31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资产管理情况</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合规</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合规</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31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tcBorders>
              <w:left w:val="single" w:sz="6" w:space="0" w:color="auto"/>
              <w:bottom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固定资产利用率</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0.5</w:t>
            </w:r>
          </w:p>
        </w:tc>
      </w:tr>
      <w:tr w:rsidR="00E65B52">
        <w:trPr>
          <w:trHeight w:val="31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val="restart"/>
            <w:tcBorders>
              <w:top w:val="single" w:sz="6" w:space="0" w:color="auto"/>
              <w:left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机构建设与内控管理</w:t>
            </w: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信息公开度</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31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工作风险控制</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健全</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健全</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31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档案管理星级</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3/4/5级</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3级</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31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违纪违法发生数</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0</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0</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31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党建工作完成率</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38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网络及信息系统管理与运行</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安全稳定</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安全稳定</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48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部门工作创新</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有</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有</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0.5</w:t>
            </w:r>
          </w:p>
        </w:tc>
      </w:tr>
      <w:tr w:rsidR="00E65B52">
        <w:trPr>
          <w:trHeight w:val="56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行政事业单位内部控制报告编制</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有</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有</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680"/>
          <w:jc w:val="center"/>
        </w:trPr>
        <w:tc>
          <w:tcPr>
            <w:tcW w:w="1092" w:type="dxa"/>
            <w:vMerge/>
            <w:tcBorders>
              <w:left w:val="single" w:sz="6" w:space="0" w:color="auto"/>
              <w:bottom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bottom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年终考评等级</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一、二等奖</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一等奖</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2080"/>
          <w:jc w:val="center"/>
        </w:trPr>
        <w:tc>
          <w:tcPr>
            <w:tcW w:w="1092" w:type="dxa"/>
            <w:vMerge w:val="restart"/>
            <w:tcBorders>
              <w:top w:val="single" w:sz="6" w:space="0" w:color="auto"/>
              <w:left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部门履职（80分）</w:t>
            </w:r>
          </w:p>
        </w:tc>
        <w:tc>
          <w:tcPr>
            <w:tcW w:w="5772" w:type="dxa"/>
            <w:tcBorders>
              <w:top w:val="single" w:sz="6" w:space="0" w:color="auto"/>
              <w:left w:val="single" w:sz="6" w:space="0" w:color="auto"/>
              <w:bottom w:val="single" w:sz="4"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职能1：承担规范全市住房和城乡建设管理秩序的责任。制定全市住房和城乡建设规范性文件。研究提出住房和城乡建设重大问题的政策建议。编制全市住房和城乡建设发展规划。指导全市住房和城乡建设综合行政执法工作。组织开展全市住房和城乡建设信用体系建设工作。</w:t>
            </w:r>
          </w:p>
        </w:tc>
        <w:tc>
          <w:tcPr>
            <w:tcW w:w="3312" w:type="dxa"/>
            <w:tcBorders>
              <w:top w:val="single" w:sz="6" w:space="0" w:color="auto"/>
              <w:left w:val="single" w:sz="6" w:space="0" w:color="auto"/>
              <w:bottom w:val="single" w:sz="4"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目标1：制定印发《连云港市住建条线“争当表率、争做示范、走在前列”十大行动计划（2021-2023年）》</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w:t>
            </w:r>
          </w:p>
        </w:tc>
      </w:tr>
      <w:tr w:rsidR="00E65B52">
        <w:trPr>
          <w:trHeight w:val="800"/>
          <w:jc w:val="center"/>
        </w:trPr>
        <w:tc>
          <w:tcPr>
            <w:tcW w:w="1092" w:type="dxa"/>
            <w:vMerge/>
            <w:tcBorders>
              <w:left w:val="single" w:sz="6" w:space="0" w:color="auto"/>
              <w:right w:val="single" w:sz="4"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5772" w:type="dxa"/>
            <w:vMerge w:val="restart"/>
            <w:tcBorders>
              <w:top w:val="single" w:sz="4" w:space="0" w:color="auto"/>
              <w:left w:val="single" w:sz="4" w:space="0" w:color="auto"/>
              <w:bottom w:val="single" w:sz="4" w:space="0" w:color="auto"/>
              <w:right w:val="single" w:sz="4"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职能2：承担全市城镇住房保障和住房制度改革的责任。拟订住房政策、住房保障政策和住房制度改革方案，并指导实施。组织编制全市住房发展规划和住房保障发展规划、年度计划并监督实施。推进全市住房保障体系建设，建立并指导保障性安居工程运营管理制度的实施。监督全市除住房公积金外的其他住房资金的管理、使用和安全。会同有关部门做好中央、省、市有关廉租住房资金安排，指导和监督县、区组织实施。</w:t>
            </w:r>
          </w:p>
        </w:tc>
        <w:tc>
          <w:tcPr>
            <w:tcW w:w="3312" w:type="dxa"/>
            <w:tcBorders>
              <w:top w:val="single" w:sz="4" w:space="0" w:color="auto"/>
              <w:left w:val="single" w:sz="4" w:space="0" w:color="auto"/>
              <w:bottom w:val="single" w:sz="4" w:space="0" w:color="auto"/>
              <w:right w:val="single" w:sz="4"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目标1：老旧小区改造</w:t>
            </w:r>
          </w:p>
        </w:tc>
        <w:tc>
          <w:tcPr>
            <w:tcW w:w="864" w:type="dxa"/>
            <w:tcBorders>
              <w:top w:val="single" w:sz="6" w:space="0" w:color="auto"/>
              <w:left w:val="single" w:sz="4"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≥120个</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150个</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r>
      <w:tr w:rsidR="00E65B52">
        <w:trPr>
          <w:trHeight w:val="540"/>
          <w:jc w:val="center"/>
        </w:trPr>
        <w:tc>
          <w:tcPr>
            <w:tcW w:w="1092" w:type="dxa"/>
            <w:vMerge/>
            <w:tcBorders>
              <w:left w:val="single" w:sz="6" w:space="0" w:color="auto"/>
              <w:right w:val="single" w:sz="4"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top w:val="single" w:sz="4" w:space="0" w:color="auto"/>
              <w:left w:val="single" w:sz="4" w:space="0" w:color="auto"/>
              <w:bottom w:val="single" w:sz="4" w:space="0" w:color="auto"/>
              <w:right w:val="single" w:sz="4"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3312" w:type="dxa"/>
            <w:tcBorders>
              <w:top w:val="single" w:sz="4" w:space="0" w:color="auto"/>
              <w:left w:val="single" w:sz="4" w:space="0" w:color="auto"/>
              <w:bottom w:val="single" w:sz="4" w:space="0" w:color="auto"/>
              <w:right w:val="single" w:sz="4"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目标2：老旧小区加装电梯</w:t>
            </w:r>
          </w:p>
        </w:tc>
        <w:tc>
          <w:tcPr>
            <w:tcW w:w="864" w:type="dxa"/>
            <w:tcBorders>
              <w:top w:val="single" w:sz="6" w:space="0" w:color="auto"/>
              <w:left w:val="single" w:sz="4"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≥20部</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24部</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r>
      <w:tr w:rsidR="00E65B52">
        <w:trPr>
          <w:trHeight w:val="800"/>
          <w:jc w:val="center"/>
        </w:trPr>
        <w:tc>
          <w:tcPr>
            <w:tcW w:w="1092" w:type="dxa"/>
            <w:vMerge/>
            <w:tcBorders>
              <w:left w:val="single" w:sz="6" w:space="0" w:color="auto"/>
              <w:right w:val="single" w:sz="4"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top w:val="single" w:sz="4" w:space="0" w:color="auto"/>
              <w:left w:val="single" w:sz="4" w:space="0" w:color="auto"/>
              <w:bottom w:val="single" w:sz="4" w:space="0" w:color="auto"/>
              <w:right w:val="single" w:sz="4"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3312" w:type="dxa"/>
            <w:tcBorders>
              <w:top w:val="single" w:sz="4" w:space="0" w:color="auto"/>
              <w:left w:val="single" w:sz="4" w:space="0" w:color="auto"/>
              <w:bottom w:val="single" w:sz="4" w:space="0" w:color="auto"/>
              <w:right w:val="single" w:sz="4"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目标3：连云港站北片区等区域11个棚改项目推进棚改新建成</w:t>
            </w:r>
          </w:p>
        </w:tc>
        <w:tc>
          <w:tcPr>
            <w:tcW w:w="864" w:type="dxa"/>
            <w:tcBorders>
              <w:top w:val="single" w:sz="6" w:space="0" w:color="auto"/>
              <w:left w:val="single" w:sz="4"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≥7500套</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7846套</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r>
      <w:tr w:rsidR="00E65B52">
        <w:trPr>
          <w:trHeight w:val="800"/>
          <w:jc w:val="center"/>
        </w:trPr>
        <w:tc>
          <w:tcPr>
            <w:tcW w:w="1092" w:type="dxa"/>
            <w:vMerge/>
            <w:tcBorders>
              <w:left w:val="single" w:sz="6" w:space="0" w:color="auto"/>
              <w:right w:val="single" w:sz="4"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top w:val="single" w:sz="4" w:space="0" w:color="auto"/>
              <w:left w:val="single" w:sz="4" w:space="0" w:color="auto"/>
              <w:bottom w:val="single" w:sz="4" w:space="0" w:color="auto"/>
              <w:right w:val="single" w:sz="4"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3312" w:type="dxa"/>
            <w:tcBorders>
              <w:top w:val="single" w:sz="4" w:space="0" w:color="auto"/>
              <w:left w:val="single" w:sz="4" w:space="0" w:color="auto"/>
              <w:bottom w:val="single" w:sz="4" w:space="0" w:color="auto"/>
              <w:right w:val="single" w:sz="4"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目标4：维修加固城镇危旧房屋</w:t>
            </w:r>
          </w:p>
        </w:tc>
        <w:tc>
          <w:tcPr>
            <w:tcW w:w="864" w:type="dxa"/>
            <w:tcBorders>
              <w:top w:val="single" w:sz="6" w:space="0" w:color="auto"/>
              <w:left w:val="single" w:sz="4"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≥3.5万平方米</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4.3万平方米</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4"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top w:val="single" w:sz="4" w:space="0" w:color="auto"/>
              <w:left w:val="single" w:sz="4" w:space="0" w:color="auto"/>
              <w:bottom w:val="single" w:sz="4" w:space="0" w:color="auto"/>
              <w:right w:val="single" w:sz="4"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3312" w:type="dxa"/>
            <w:tcBorders>
              <w:top w:val="single" w:sz="4" w:space="0" w:color="auto"/>
              <w:left w:val="single" w:sz="4" w:space="0" w:color="auto"/>
              <w:bottom w:val="single" w:sz="4" w:space="0" w:color="auto"/>
              <w:right w:val="single" w:sz="4"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目标5：解决低收入家庭安居问题</w:t>
            </w:r>
          </w:p>
        </w:tc>
        <w:tc>
          <w:tcPr>
            <w:tcW w:w="864" w:type="dxa"/>
            <w:tcBorders>
              <w:top w:val="single" w:sz="6" w:space="0" w:color="auto"/>
              <w:left w:val="single" w:sz="4"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≥1100户</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1793户</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75"/>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val="restart"/>
            <w:tcBorders>
              <w:top w:val="single" w:sz="4" w:space="0" w:color="auto"/>
              <w:left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职能3：承担规范房地产市场秩序、监督管理房地产市场的责任。拟订房地产业发展和市场监管政策并监</w:t>
            </w:r>
            <w:r>
              <w:rPr>
                <w:rFonts w:ascii="宋体" w:hAnsi="宋体" w:hint="eastAsia"/>
                <w:color w:val="000000"/>
                <w:sz w:val="24"/>
              </w:rPr>
              <w:lastRenderedPageBreak/>
              <w:t>督执行。提出房地产业的行业发展规划并监督实施。制定房地产开发、住宅产业化与性能认定、房屋租赁、房地产估价与经纪管理、物业管理、装饰装修、国有土地上房屋征收等规章制度并监督执行。参与制定全市国有土地出让计划。配合做好房地产交易与产权管理相关工作。</w:t>
            </w:r>
          </w:p>
        </w:tc>
        <w:tc>
          <w:tcPr>
            <w:tcW w:w="3312" w:type="dxa"/>
            <w:tcBorders>
              <w:top w:val="single" w:sz="4"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lastRenderedPageBreak/>
              <w:t>目标1：试行“互联网+保证金”模式</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94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目标2：房地产业税收占全市税收比重</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≥20%</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21.6%</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13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bottom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目标3：实施“拿地即开工+告知承诺制”审批模式</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rsidP="00273632">
            <w:pPr>
              <w:ind w:firstLine="480"/>
              <w:jc w:val="center"/>
              <w:rPr>
                <w:rFonts w:ascii="宋体" w:hAnsi="宋体"/>
                <w:color w:val="000000"/>
                <w:sz w:val="24"/>
              </w:rPr>
            </w:pPr>
            <w:r>
              <w:rPr>
                <w:rFonts w:ascii="宋体" w:hAnsi="宋体" w:hint="eastAsia"/>
                <w:color w:val="000000"/>
                <w:sz w:val="24"/>
              </w:rPr>
              <w:t>完成</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1109"/>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val="restart"/>
            <w:tcBorders>
              <w:top w:val="nil"/>
              <w:left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职能4：承担设计行业发展和管理的责任。拟订工程勘察设计咨询业发展规划、技术政策和规章制度。指导城市设计、建筑设计、工程勘察设计工作，会同有关部门负责历史文化名城（名镇、名村）和历史文化保护区的申报、保护规划的审查报批和监督实施工作。监督管理施工图设计审查工作。组织编制城乡建设抗震防灾规划、应急避难场所布局规划并监督实施，负责各类房屋建筑及其附属设施和市政设施的抗震设防工作，指导应急避难场所建设工作。</w:t>
            </w: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目标1：印发《连云港市2021年度震情监视跟踪和应急准备工作实施方案》</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目标2：历史文化名城保护规划编制</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80%</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92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bottom w:val="nil"/>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目标3：第三批历史建筑普查认定</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80%</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0.5</w:t>
            </w:r>
          </w:p>
        </w:tc>
      </w:tr>
      <w:tr w:rsidR="00E65B52">
        <w:trPr>
          <w:trHeight w:val="62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val="restart"/>
            <w:tcBorders>
              <w:top w:val="single" w:sz="6" w:space="0" w:color="auto"/>
              <w:left w:val="single" w:sz="6" w:space="0" w:color="auto"/>
              <w:right w:val="single" w:sz="6" w:space="0" w:color="auto"/>
              <w:tl2br w:val="nil"/>
              <w:tr2bl w:val="nil"/>
            </w:tcBorders>
            <w:noWrap/>
            <w:vAlign w:val="center"/>
          </w:tcPr>
          <w:p w:rsidR="00E65B52" w:rsidRDefault="00D033EA" w:rsidP="00273632">
            <w:pPr>
              <w:ind w:firstLine="480"/>
              <w:jc w:val="center"/>
              <w:rPr>
                <w:rFonts w:ascii="宋体" w:hAnsi="宋体"/>
                <w:color w:val="000000"/>
                <w:sz w:val="24"/>
              </w:rPr>
            </w:pPr>
            <w:r>
              <w:rPr>
                <w:rFonts w:ascii="宋体" w:hAnsi="宋体" w:hint="eastAsia"/>
                <w:color w:val="000000"/>
                <w:sz w:val="24"/>
              </w:rPr>
              <w:t>职能5：拟订城市建设综合性发展规划。拟订全市城市市政基础设施和市政公用事业发展规划并指导实施。负责全市市政公用事业发展和市政基础设施建设、管理的责任。研究提出全市重大基础设施项目建设方案。推进海绵城市、城市地下综合管廊建设管理工作。负责人居环境奖评选的组织推荐和申报工作。参与生态文明、智慧城市、苏北发展工作。</w:t>
            </w: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目标1：新建城市道路</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≥70公里</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rsidP="00273632">
            <w:pPr>
              <w:ind w:firstLine="480"/>
              <w:jc w:val="center"/>
              <w:rPr>
                <w:rFonts w:ascii="宋体" w:hAnsi="宋体"/>
                <w:color w:val="000000"/>
                <w:sz w:val="24"/>
              </w:rPr>
            </w:pPr>
            <w:r>
              <w:rPr>
                <w:rFonts w:ascii="宋体" w:hAnsi="宋体" w:hint="eastAsia"/>
                <w:color w:val="000000"/>
                <w:sz w:val="24"/>
              </w:rPr>
              <w:t>72公里</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目标2：公路改造通车</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≥30条</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30条</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r>
      <w:tr w:rsidR="00E65B52">
        <w:trPr>
          <w:trHeight w:val="6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目标3：补建、维修市政消火栓</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≥2000个</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2279个</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目标4：新建、排查污水管网</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≥500公里</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rsidP="00273632">
            <w:pPr>
              <w:ind w:firstLine="480"/>
              <w:jc w:val="center"/>
              <w:rPr>
                <w:rFonts w:ascii="宋体" w:hAnsi="宋体"/>
                <w:color w:val="000000"/>
                <w:sz w:val="24"/>
              </w:rPr>
            </w:pPr>
            <w:r>
              <w:rPr>
                <w:rFonts w:ascii="宋体" w:hAnsi="宋体" w:hint="eastAsia"/>
                <w:color w:val="000000"/>
                <w:sz w:val="24"/>
              </w:rPr>
              <w:t>547公里</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目标5：城市建成区建成提质增效达标区</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≥30%</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30%</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目标6：道路积水点排查整治</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≥20个</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22个</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目标7：疏通排水干管</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≥800公里</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823公里</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bottom w:val="nil"/>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目标8：清捞窨井和雨水井</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≥3.6万座</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3.6万座</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2"/>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val="restart"/>
            <w:tcBorders>
              <w:top w:val="single" w:sz="6" w:space="0" w:color="auto"/>
              <w:left w:val="single" w:sz="6" w:space="0" w:color="auto"/>
              <w:right w:val="single" w:sz="6" w:space="0" w:color="auto"/>
              <w:tl2br w:val="nil"/>
              <w:tr2bl w:val="nil"/>
            </w:tcBorders>
            <w:noWrap/>
            <w:vAlign w:val="center"/>
          </w:tcPr>
          <w:p w:rsidR="00E65B52" w:rsidRDefault="00D033EA" w:rsidP="00273632">
            <w:pPr>
              <w:ind w:firstLine="480"/>
              <w:jc w:val="center"/>
              <w:rPr>
                <w:rFonts w:ascii="宋体" w:hAnsi="宋体"/>
                <w:color w:val="000000"/>
                <w:sz w:val="24"/>
              </w:rPr>
            </w:pPr>
            <w:r>
              <w:rPr>
                <w:rFonts w:ascii="宋体" w:hAnsi="宋体" w:hint="eastAsia"/>
                <w:color w:val="000000"/>
                <w:sz w:val="24"/>
              </w:rPr>
              <w:t>职能6：承担监督指导全市城市园林绿化工作的责任。制定全市城市园林绿化政策、发展规划、技术规范并指导实施。指导城市规划区内的绿地系统构建、生物多样性及古树名木保护等工作。指导城市公园建设管理、古典园林保护修复、传统园林营造技艺传承等工作。指导县区创建“园林城市”、“生态园林城市”。负责组织各种园林园艺展览和交流活动。</w:t>
            </w: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目标1：全市新增绿地面积</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≥300公顷</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380公顷</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r>
      <w:tr w:rsidR="00E65B52">
        <w:trPr>
          <w:trHeight w:val="686"/>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目标2：人均公园绿地面积</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≥14.9平方米/人</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15.13平方米/人</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目标3：新建大中型公园</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≥6处</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6处</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bottom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目标4：特色“小而精”的街巷绿化改造</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≥24条</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24条</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val="restart"/>
            <w:tcBorders>
              <w:top w:val="single" w:sz="6" w:space="0" w:color="auto"/>
              <w:left w:val="single" w:sz="6" w:space="0" w:color="auto"/>
              <w:right w:val="single" w:sz="6" w:space="0" w:color="auto"/>
              <w:tl2br w:val="nil"/>
              <w:tr2bl w:val="nil"/>
            </w:tcBorders>
            <w:noWrap/>
            <w:vAlign w:val="center"/>
          </w:tcPr>
          <w:p w:rsidR="00E65B52" w:rsidRDefault="00D033EA" w:rsidP="00273632">
            <w:pPr>
              <w:ind w:firstLine="480"/>
              <w:jc w:val="center"/>
              <w:rPr>
                <w:rFonts w:ascii="宋体" w:hAnsi="宋体"/>
                <w:color w:val="000000"/>
                <w:sz w:val="24"/>
              </w:rPr>
            </w:pPr>
            <w:r>
              <w:rPr>
                <w:rFonts w:ascii="宋体" w:hAnsi="宋体" w:hint="eastAsia"/>
                <w:color w:val="000000"/>
                <w:sz w:val="24"/>
              </w:rPr>
              <w:t>职能7：协同推进乡村振兴战略，参与村镇建设规划编制，指导村庄和小城镇建设工作。指导农村住房建设和危房改造。配合开展小城镇人居环境改善工作。指导全市美丽宜居乡村建设工程、特色田园乡村、重点中心镇和特色小城镇的建设，指导农民群众住房</w:t>
            </w:r>
            <w:r>
              <w:rPr>
                <w:rFonts w:ascii="宋体" w:hAnsi="宋体" w:hint="eastAsia"/>
                <w:color w:val="000000"/>
                <w:sz w:val="24"/>
              </w:rPr>
              <w:lastRenderedPageBreak/>
              <w:t>条件改善工作，指导传统村落保护和发展工作。</w:t>
            </w: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lastRenderedPageBreak/>
              <w:t>目标1：省下达市农房改善目标</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≥4.5万户</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4.97万户</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目标2：新增美丽宜居乡村</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≥550个</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584个</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目标3：创建省级特色田园乡村</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≥6个</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5个</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目标4：市级特色田园乡村</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≥10个</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30个</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bottom w:val="single" w:sz="4"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4"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目标5：农村房屋安全隐患排查整治</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1920"/>
          <w:jc w:val="center"/>
        </w:trPr>
        <w:tc>
          <w:tcPr>
            <w:tcW w:w="1092" w:type="dxa"/>
            <w:vMerge/>
            <w:tcBorders>
              <w:left w:val="single" w:sz="6" w:space="0" w:color="auto"/>
              <w:right w:val="single" w:sz="4"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val="restart"/>
            <w:tcBorders>
              <w:top w:val="single" w:sz="4" w:space="0" w:color="auto"/>
              <w:left w:val="single" w:sz="4" w:space="0" w:color="auto"/>
              <w:right w:val="single" w:sz="6" w:space="0" w:color="auto"/>
              <w:tl2br w:val="nil"/>
              <w:tr2bl w:val="nil"/>
            </w:tcBorders>
            <w:noWrap/>
            <w:vAlign w:val="center"/>
          </w:tcPr>
          <w:p w:rsidR="00E65B52" w:rsidRDefault="00D033EA" w:rsidP="00273632">
            <w:pPr>
              <w:ind w:firstLine="480"/>
              <w:jc w:val="center"/>
              <w:rPr>
                <w:rFonts w:ascii="宋体" w:hAnsi="宋体"/>
                <w:color w:val="000000"/>
                <w:sz w:val="24"/>
              </w:rPr>
            </w:pPr>
            <w:r>
              <w:rPr>
                <w:rFonts w:ascii="宋体" w:hAnsi="宋体" w:hint="eastAsia"/>
                <w:color w:val="000000"/>
                <w:sz w:val="24"/>
              </w:rPr>
              <w:t>职能8：承担监督管理建筑市场、规范市场各方主体行为、推进建筑业发展的责任。拟订建筑业行业发展战略、中长期规划、改革方案、产业政策、规章制度并监督执行。制定规范建筑市场主体及中介服务机构行为的规章制度并监督实施。指导房屋建筑和市政基础设施工程项目招投标活动、施工许可、竣工验收的监督管理。负责工程建设实施阶段的监督管理，指导工程项目建设、合同管理和工程风险管理。促进建筑企业对外开拓市场、参与国际工程承包。拟订全市政府投资工程集中建设的规章制度并监督执行。负责市级政府投资非盈利性工程项目集中建设日常指导和监管</w:t>
            </w:r>
          </w:p>
        </w:tc>
        <w:tc>
          <w:tcPr>
            <w:tcW w:w="3312" w:type="dxa"/>
            <w:tcBorders>
              <w:top w:val="single" w:sz="4" w:space="0" w:color="auto"/>
              <w:left w:val="single" w:sz="6" w:space="0" w:color="auto"/>
              <w:bottom w:val="single" w:sz="6" w:space="0" w:color="auto"/>
              <w:right w:val="single" w:sz="4"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目标1：建筑业税收占全市税收比重</w:t>
            </w:r>
          </w:p>
        </w:tc>
        <w:tc>
          <w:tcPr>
            <w:tcW w:w="864" w:type="dxa"/>
            <w:tcBorders>
              <w:top w:val="single" w:sz="6" w:space="0" w:color="auto"/>
              <w:left w:val="single" w:sz="4"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≥8%</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8%</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r>
      <w:tr w:rsidR="00E65B52">
        <w:trPr>
          <w:trHeight w:val="1920"/>
          <w:jc w:val="center"/>
        </w:trPr>
        <w:tc>
          <w:tcPr>
            <w:tcW w:w="1092" w:type="dxa"/>
            <w:vMerge/>
            <w:tcBorders>
              <w:left w:val="single" w:sz="6" w:space="0" w:color="auto"/>
              <w:right w:val="single" w:sz="4"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4" w:space="0" w:color="auto"/>
              <w:bottom w:val="single" w:sz="4"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4" w:space="0" w:color="auto"/>
              <w:right w:val="single" w:sz="4"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目标2：建筑业总产值增速</w:t>
            </w:r>
          </w:p>
        </w:tc>
        <w:tc>
          <w:tcPr>
            <w:tcW w:w="864" w:type="dxa"/>
            <w:tcBorders>
              <w:top w:val="single" w:sz="6" w:space="0" w:color="auto"/>
              <w:left w:val="single" w:sz="4" w:space="0" w:color="auto"/>
              <w:bottom w:val="single" w:sz="6" w:space="0" w:color="auto"/>
              <w:right w:val="single" w:sz="6" w:space="0" w:color="auto"/>
              <w:tl2br w:val="nil"/>
              <w:tr2bl w:val="nil"/>
            </w:tcBorders>
            <w:noWrap/>
            <w:vAlign w:val="center"/>
          </w:tcPr>
          <w:p w:rsidR="00E65B52" w:rsidRDefault="00D033EA" w:rsidP="00273632">
            <w:pPr>
              <w:ind w:firstLine="48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≥8%</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9%</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r>
      <w:tr w:rsidR="00E65B52">
        <w:trPr>
          <w:trHeight w:val="302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tcBorders>
              <w:top w:val="single" w:sz="4"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职能9：承担建筑工程质量安全监管的责任。制定建筑工程质量、安全生产的规章制度，负责房屋建筑、市政基础设施、园林绿化、人民防空工程质量监督、安全监督工作。制定建筑业技术政策并指导实施。参与市政府组织的工程重大安全事故的调查处理，参与国家和省、市审批立项的房屋建筑、市政基础设施和人民防空重大建设项目工程质量、安全、施工现场监管和竣工验收的管理工作。组织评审市级优质工程，审核推荐省级优质工程。</w:t>
            </w:r>
          </w:p>
        </w:tc>
        <w:tc>
          <w:tcPr>
            <w:tcW w:w="3312" w:type="dxa"/>
            <w:tcBorders>
              <w:top w:val="single" w:sz="4"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目标1：派出检查组巡查，排查整改安全隐患</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≥400次</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412次</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178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val="restart"/>
            <w:tcBorders>
              <w:top w:val="single" w:sz="6" w:space="0" w:color="auto"/>
              <w:left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职能10：承担推进科技进步、绿色建筑发展、建筑节能、城镇建筑减排的责任。会同有关部门制定全市建设科技发展规划、年度计划和技术经济政策并指导实施。会同有关部门拟订绿色建筑、智慧建筑和建筑节能的政策、规划并监督实施。组织建筑行业重大科技项目研究和重大建筑节能项目实施。组织开展重大科技项目攻关、科技成果转化、新技术开发、技术引进及新材料的推广和应用工作。推进建筑产业现代化。指导建筑能效测评和绿色建筑标识管理。</w:t>
            </w: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目标1：省级能效提升示范项目</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≥2项</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2项</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178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bottom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目标2：城镇绿色建筑占新建建筑比例</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≥95%</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98.90%</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val="restart"/>
            <w:tcBorders>
              <w:top w:val="nil"/>
              <w:left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职能11：负责编制城市人民防空建设发展中长期规划和人防工程专项规划。编制人民防空经费预算，依法筹集人民防空建设经费。监督人民防空工程建设参与</w:t>
            </w:r>
            <w:r>
              <w:rPr>
                <w:rFonts w:ascii="宋体" w:hAnsi="宋体" w:hint="eastAsia"/>
                <w:color w:val="000000"/>
                <w:sz w:val="24"/>
              </w:rPr>
              <w:lastRenderedPageBreak/>
              <w:t>主体行为。负责人民防空国有资产管理。负责城市地下空间开发利用中人民防空防护等事项的管理和监督检查工作。承担已建人民防空工程的维护、使用安全管理责任。制定全市人民防空宣传、教育计划并督促贯彻实施。拟订市人民防空指挥系统转入战时体制方案。指导制定城市防空袭方案和重要经济目标防护方案。组织制定城市人口疏散计划。组织人民防空演习。负责本市人民防空信息化及警报建设和管理工作。保障市委、市政府、军分区组织指挥全市人民防空行动。</w:t>
            </w: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lastRenderedPageBreak/>
              <w:t>目标1：制定印发《关于加强全市住建人防融合发展的指导意见（试行）》</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目标2：新开工人防工程</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≥45个</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47个</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目标3：新增人防车位</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≥3500个</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3857个</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目标5：开展“港城人防在行动”主题活动</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目标6：组织“9.18”防空警报统一试鸣活动</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≥10万人次</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10万人次</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bottom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目标7：组建抢险抢修、医疗救护、通信等人防专业队</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94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val="restart"/>
            <w:tcBorders>
              <w:top w:val="single" w:sz="6" w:space="0" w:color="auto"/>
              <w:left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职能12：拟订监测台网规划。拟订市级防震减灾规划，编制年度防震减灾经费预算。划定地震监测环境保护范围，依法保护地震监测设施和地震观测环境。负责全市各类地震台网管理工作，建立健全地震信息共享平台。承担日常地震活动监测预报工作。根据地震监测信息研究结果，对可能发生地震的地点、时间和震级做出预测。组织做好震情跟踪、流动观测和可能与地震有关的异常现象观测以及群测群防工作。承担全市震害防御管理工作。监督管理以地震烈度或地震动参数表述的抗震设防要求执行情况、地震安全性评价工作。</w:t>
            </w: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目标1：参加2020年度全国地震观测资料“钻孔应变观测台站”评比</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3</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一、二等奖</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三等奖</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94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目标2：参加“省属地震台站观测资料”项目评比</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前五名</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第一名</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r>
      <w:tr w:rsidR="00E65B52">
        <w:trPr>
          <w:trHeight w:val="106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目标3：陆上基准站和基本站的国家烈度速报和预警设备的安装</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目标4：开展“5.12防灾减灾日”</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≥5000人次</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6000人次</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bottom w:val="nil"/>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目标5：新建防灾避难场所</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≥5所</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5所</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val="restart"/>
            <w:tcBorders>
              <w:top w:val="single" w:sz="6" w:space="0" w:color="auto"/>
              <w:left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职能13：负责全市住房和城乡建设行业安全生产的监督管理，参与有关事故的调查处理及应急管理工作。组织开展行业安全生产检查和专项督查。推进本行业安全生产标准化建设。</w:t>
            </w: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目标1：增设消防安全分委会</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r>
      <w:tr w:rsidR="00E65B52">
        <w:trPr>
          <w:trHeight w:val="801"/>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目标2：检查液化石油气储配站等燃气场站</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≥400次</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412次</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目标3：燃气老旧管网改造</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≥50公里</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57.55公里</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66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bottom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目标4：各类管网动态排查</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rsidP="00273632">
            <w:pPr>
              <w:ind w:firstLine="480"/>
              <w:jc w:val="center"/>
              <w:rPr>
                <w:rFonts w:ascii="宋体" w:hAnsi="宋体"/>
                <w:color w:val="000000"/>
                <w:sz w:val="24"/>
              </w:rPr>
            </w:pPr>
            <w:r>
              <w:rPr>
                <w:rFonts w:ascii="宋体" w:hAnsi="宋体" w:hint="eastAsia"/>
                <w:color w:val="000000"/>
                <w:sz w:val="24"/>
              </w:rPr>
              <w:t>1</w:t>
            </w:r>
          </w:p>
        </w:tc>
      </w:tr>
      <w:tr w:rsidR="00E65B52">
        <w:trPr>
          <w:trHeight w:val="126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tcBorders>
              <w:top w:val="nil"/>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职能14：指导全市住房和城乡建设行业的人才培养、职业教育、执业资格考试与注册管理工作。指导住房和城乡建设档案工作。组织对外交流与合作。</w:t>
            </w: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目标1：开展市住建局青年干部专题培训班</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76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val="restart"/>
            <w:tcBorders>
              <w:top w:val="nil"/>
              <w:left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职能15：完成市委、市政府交办的其他任务</w:t>
            </w: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目标1：参加全市“颂歌献给党”歌咏比赛</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前三名</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乙组一等奖第一名</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52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bottom w:val="nil"/>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目标2：组织开展党委理论中心组</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≥20批次</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20批次</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126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val="restart"/>
            <w:tcBorders>
              <w:top w:val="single" w:sz="6" w:space="0" w:color="auto"/>
              <w:left w:val="single" w:sz="6" w:space="0" w:color="auto"/>
              <w:right w:val="single" w:sz="6" w:space="0" w:color="auto"/>
              <w:tl2br w:val="nil"/>
              <w:tr2bl w:val="nil"/>
            </w:tcBorders>
            <w:noWrap/>
            <w:vAlign w:val="center"/>
          </w:tcPr>
          <w:p w:rsidR="00E65B52" w:rsidRDefault="00E65B52">
            <w:pPr>
              <w:ind w:firstLineChars="0" w:firstLine="0"/>
              <w:jc w:val="center"/>
              <w:rPr>
                <w:rFonts w:ascii="宋体" w:hAnsi="宋体"/>
                <w:color w:val="000000"/>
                <w:sz w:val="24"/>
              </w:rPr>
            </w:pPr>
          </w:p>
          <w:p w:rsidR="00E65B52" w:rsidRDefault="00E65B52">
            <w:pPr>
              <w:ind w:firstLineChars="0" w:firstLine="0"/>
              <w:jc w:val="center"/>
              <w:rPr>
                <w:rFonts w:ascii="宋体" w:hAnsi="宋体"/>
                <w:color w:val="000000"/>
                <w:sz w:val="24"/>
              </w:rPr>
            </w:pPr>
          </w:p>
          <w:p w:rsidR="00E65B52" w:rsidRDefault="00E65B52">
            <w:pPr>
              <w:ind w:firstLineChars="0" w:firstLine="0"/>
              <w:jc w:val="center"/>
              <w:rPr>
                <w:rFonts w:ascii="宋体" w:hAnsi="宋体"/>
                <w:color w:val="000000"/>
                <w:sz w:val="24"/>
              </w:rPr>
            </w:pPr>
          </w:p>
          <w:p w:rsidR="00E65B52" w:rsidRDefault="00E65B52">
            <w:pPr>
              <w:ind w:firstLineChars="0" w:firstLine="0"/>
              <w:jc w:val="center"/>
              <w:rPr>
                <w:rFonts w:ascii="宋体" w:hAnsi="宋体"/>
                <w:color w:val="000000"/>
                <w:sz w:val="24"/>
              </w:rPr>
            </w:pPr>
          </w:p>
          <w:p w:rsidR="00E65B52" w:rsidRDefault="00E65B52">
            <w:pPr>
              <w:ind w:firstLineChars="0" w:firstLine="0"/>
              <w:jc w:val="center"/>
              <w:rPr>
                <w:rFonts w:ascii="宋体" w:hAnsi="宋体"/>
                <w:color w:val="000000"/>
                <w:sz w:val="24"/>
              </w:rPr>
            </w:pPr>
          </w:p>
          <w:p w:rsidR="00E65B52" w:rsidRDefault="00E65B52">
            <w:pPr>
              <w:ind w:firstLineChars="0" w:firstLine="0"/>
              <w:jc w:val="center"/>
              <w:rPr>
                <w:rFonts w:ascii="宋体" w:hAnsi="宋体"/>
                <w:color w:val="000000"/>
                <w:sz w:val="24"/>
              </w:rPr>
            </w:pPr>
          </w:p>
          <w:p w:rsidR="00E65B52" w:rsidRDefault="00D033EA">
            <w:pPr>
              <w:ind w:firstLineChars="0" w:firstLine="0"/>
              <w:jc w:val="center"/>
              <w:rPr>
                <w:rFonts w:ascii="宋体" w:hAnsi="宋体"/>
                <w:color w:val="000000"/>
                <w:sz w:val="24"/>
              </w:rPr>
            </w:pPr>
            <w:r>
              <w:rPr>
                <w:rFonts w:ascii="宋体" w:hAnsi="宋体" w:hint="eastAsia"/>
                <w:color w:val="000000"/>
                <w:sz w:val="24"/>
              </w:rPr>
              <w:t>履职效果</w:t>
            </w: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lastRenderedPageBreak/>
              <w:t>灌南县盐河片区公园绿地体系化建设项目获批2021年江苏省园林绿化示范项目（全省仅10项）</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全市20个物管项目获得省级示范表彰，</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创成国家级“鲁班奖”1项</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80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成功申报江苏省建筑工程绿色智慧示范片区2个</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940"/>
          <w:jc w:val="center"/>
        </w:trPr>
        <w:tc>
          <w:tcPr>
            <w:tcW w:w="109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5772" w:type="dxa"/>
            <w:vMerge/>
            <w:tcBorders>
              <w:left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花果山机场项目被评为“国家AAA级安全文明标准化诚信工地</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完成</w:t>
            </w: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w:t>
            </w:r>
          </w:p>
        </w:tc>
      </w:tr>
      <w:tr w:rsidR="00E65B52">
        <w:trPr>
          <w:trHeight w:val="560"/>
          <w:jc w:val="center"/>
        </w:trPr>
        <w:tc>
          <w:tcPr>
            <w:tcW w:w="1092" w:type="dxa"/>
            <w:vMerge/>
            <w:tcBorders>
              <w:left w:val="single" w:sz="6" w:space="0" w:color="auto"/>
              <w:bottom w:val="single" w:sz="6" w:space="0" w:color="auto"/>
              <w:right w:val="single" w:sz="6" w:space="0" w:color="auto"/>
              <w:tl2br w:val="nil"/>
              <w:tr2bl w:val="nil"/>
            </w:tcBorders>
            <w:noWrap/>
            <w:vAlign w:val="center"/>
          </w:tcPr>
          <w:p w:rsidR="00E65B52" w:rsidRDefault="00E65B52" w:rsidP="00273632">
            <w:pPr>
              <w:ind w:firstLine="400"/>
              <w:jc w:val="left"/>
              <w:rPr>
                <w:rFonts w:ascii="Arial" w:hAnsi="Arial"/>
                <w:color w:val="000000"/>
                <w:sz w:val="20"/>
              </w:rPr>
            </w:pPr>
          </w:p>
        </w:tc>
        <w:tc>
          <w:tcPr>
            <w:tcW w:w="5772" w:type="dxa"/>
            <w:vMerge/>
            <w:tcBorders>
              <w:left w:val="single" w:sz="6" w:space="0" w:color="auto"/>
              <w:bottom w:val="single" w:sz="6" w:space="0" w:color="auto"/>
              <w:right w:val="single" w:sz="6" w:space="0" w:color="auto"/>
              <w:tl2br w:val="nil"/>
              <w:tr2bl w:val="nil"/>
            </w:tcBorders>
            <w:noWrap/>
            <w:vAlign w:val="center"/>
          </w:tcPr>
          <w:p w:rsidR="00E65B52" w:rsidRDefault="00E65B52" w:rsidP="00273632">
            <w:pPr>
              <w:ind w:firstLine="480"/>
              <w:jc w:val="left"/>
              <w:rPr>
                <w:rFonts w:ascii="宋体" w:hAnsi="宋体"/>
                <w:color w:val="000000"/>
                <w:sz w:val="24"/>
              </w:rPr>
            </w:pPr>
          </w:p>
        </w:tc>
        <w:tc>
          <w:tcPr>
            <w:tcW w:w="3312"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合计</w:t>
            </w:r>
          </w:p>
        </w:tc>
        <w:tc>
          <w:tcPr>
            <w:tcW w:w="864"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100</w:t>
            </w:r>
          </w:p>
        </w:tc>
        <w:tc>
          <w:tcPr>
            <w:tcW w:w="1229"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1267"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E65B52" w:rsidP="00273632">
            <w:pPr>
              <w:ind w:firstLine="480"/>
              <w:jc w:val="center"/>
              <w:rPr>
                <w:rFonts w:ascii="宋体" w:hAnsi="宋体"/>
                <w:color w:val="000000"/>
                <w:sz w:val="24"/>
              </w:rPr>
            </w:pPr>
          </w:p>
        </w:tc>
        <w:tc>
          <w:tcPr>
            <w:tcW w:w="840" w:type="dxa"/>
            <w:tcBorders>
              <w:top w:val="single" w:sz="6" w:space="0" w:color="auto"/>
              <w:left w:val="single" w:sz="6" w:space="0" w:color="auto"/>
              <w:bottom w:val="single" w:sz="6" w:space="0" w:color="auto"/>
              <w:right w:val="single" w:sz="6" w:space="0" w:color="auto"/>
              <w:tl2br w:val="nil"/>
              <w:tr2bl w:val="nil"/>
            </w:tcBorders>
            <w:noWrap/>
            <w:vAlign w:val="center"/>
          </w:tcPr>
          <w:p w:rsidR="00E65B52" w:rsidRDefault="00D033EA">
            <w:pPr>
              <w:ind w:firstLineChars="0" w:firstLine="0"/>
              <w:jc w:val="center"/>
              <w:rPr>
                <w:rFonts w:ascii="宋体" w:hAnsi="宋体"/>
                <w:color w:val="000000"/>
                <w:sz w:val="24"/>
              </w:rPr>
            </w:pPr>
            <w:r>
              <w:rPr>
                <w:rFonts w:ascii="宋体" w:hAnsi="宋体" w:hint="eastAsia"/>
                <w:color w:val="000000"/>
                <w:sz w:val="24"/>
              </w:rPr>
              <w:t>93</w:t>
            </w:r>
          </w:p>
        </w:tc>
      </w:tr>
    </w:tbl>
    <w:p w:rsidR="00E65B52" w:rsidRDefault="00E65B52">
      <w:pPr>
        <w:ind w:firstLineChars="0" w:firstLine="0"/>
      </w:pPr>
    </w:p>
    <w:p w:rsidR="00E65B52" w:rsidRDefault="00E65B52">
      <w:pPr>
        <w:ind w:firstLine="640"/>
        <w:rPr>
          <w:sz w:val="32"/>
          <w:szCs w:val="32"/>
        </w:rPr>
      </w:pPr>
    </w:p>
    <w:sectPr w:rsidR="00E65B52" w:rsidSect="00E65B52">
      <w:footerReference w:type="default" r:id="rId16"/>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7207" w:rsidRDefault="00857207">
      <w:pPr>
        <w:ind w:firstLine="560"/>
      </w:pPr>
      <w:r>
        <w:separator/>
      </w:r>
    </w:p>
  </w:endnote>
  <w:endnote w:type="continuationSeparator" w:id="1">
    <w:p w:rsidR="00857207" w:rsidRDefault="00857207">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632" w:rsidRDefault="00273632" w:rsidP="00273632">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632" w:rsidRDefault="00273632" w:rsidP="00273632">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632" w:rsidRDefault="00273632" w:rsidP="00273632">
    <w:pPr>
      <w:pStyle w:val="a4"/>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B52" w:rsidRDefault="00D033EA">
    <w:pPr>
      <w:pStyle w:val="a4"/>
      <w:ind w:firstLine="360"/>
    </w:pPr>
    <w:r>
      <w:rPr>
        <w:rFonts w:hint="eastAsia"/>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B52" w:rsidRDefault="00E65B52">
    <w:pPr>
      <w:pStyle w:val="a4"/>
      <w:ind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B52" w:rsidRDefault="007F0666">
    <w:pPr>
      <w:pStyle w:val="a4"/>
      <w:ind w:firstLine="36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 filled="f" stroked="f" strokeweight=".5pt">
          <v:textbox style="mso-fit-shape-to-text:t" inset="0,0,0,0">
            <w:txbxContent>
              <w:p w:rsidR="00E65B52" w:rsidRDefault="007F0666">
                <w:pPr>
                  <w:pStyle w:val="a4"/>
                  <w:ind w:firstLine="360"/>
                </w:pPr>
                <w:r>
                  <w:fldChar w:fldCharType="begin"/>
                </w:r>
                <w:r w:rsidR="00D033EA">
                  <w:instrText xml:space="preserve"> PAGE  \* MERGEFORMAT </w:instrText>
                </w:r>
                <w:r>
                  <w:fldChar w:fldCharType="separate"/>
                </w:r>
                <w:r w:rsidR="001465FA">
                  <w:rPr>
                    <w:noProof/>
                  </w:rPr>
                  <w:t>22</w:t>
                </w:r>
                <w: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B52" w:rsidRDefault="007F0666">
    <w:pPr>
      <w:pStyle w:val="a4"/>
      <w:ind w:firstLine="360"/>
    </w:pPr>
    <w:r>
      <w:pict>
        <v:shapetype id="_x0000_t202" coordsize="21600,21600" o:spt="202" path="m,l,21600r21600,l21600,xe">
          <v:stroke joinstyle="miter"/>
          <v:path gradientshapeok="t" o:connecttype="rect"/>
        </v:shapetype>
        <v:shape id="_x0000_s4098" type="#_x0000_t202" style="position:absolute;left:0;text-align:left;margin-left:0;margin-top:0;width:2in;height:2in;z-index:251660288;mso-wrap-style:none;mso-position-horizontal:center;mso-position-horizontal-relative:margin" filled="f" stroked="f">
          <v:textbox style="mso-fit-shape-to-text:t" inset="0,0,0,0">
            <w:txbxContent>
              <w:p w:rsidR="00E65B52" w:rsidRDefault="007F0666" w:rsidP="00273632">
                <w:pPr>
                  <w:pStyle w:val="a4"/>
                  <w:ind w:firstLine="360"/>
                </w:pPr>
                <w:r>
                  <w:fldChar w:fldCharType="begin"/>
                </w:r>
                <w:r w:rsidR="00D033EA">
                  <w:instrText xml:space="preserve"> PAGE  \* MERGEFORMAT </w:instrText>
                </w:r>
                <w:r>
                  <w:fldChar w:fldCharType="separate"/>
                </w:r>
                <w:r w:rsidR="001465FA">
                  <w:rPr>
                    <w:noProof/>
                  </w:rPr>
                  <w:t>31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7207" w:rsidRDefault="00857207">
      <w:pPr>
        <w:ind w:firstLine="560"/>
      </w:pPr>
      <w:r>
        <w:separator/>
      </w:r>
    </w:p>
  </w:footnote>
  <w:footnote w:type="continuationSeparator" w:id="1">
    <w:p w:rsidR="00857207" w:rsidRDefault="00857207">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632" w:rsidRDefault="00273632" w:rsidP="00273632">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632" w:rsidRDefault="00273632" w:rsidP="00273632">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632" w:rsidRDefault="00273632" w:rsidP="00273632">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10242"/>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WI1Yjk0MWE0ZjA2ZTU2NmQyN2NiZmE1ZTBkMGY2MWUifQ=="/>
  </w:docVars>
  <w:rsids>
    <w:rsidRoot w:val="00172A27"/>
    <w:rsid w:val="00045095"/>
    <w:rsid w:val="000A3658"/>
    <w:rsid w:val="001465FA"/>
    <w:rsid w:val="00172A27"/>
    <w:rsid w:val="00273632"/>
    <w:rsid w:val="0028280A"/>
    <w:rsid w:val="002A4F56"/>
    <w:rsid w:val="003806A1"/>
    <w:rsid w:val="004134D9"/>
    <w:rsid w:val="00497627"/>
    <w:rsid w:val="007F0666"/>
    <w:rsid w:val="00821D2B"/>
    <w:rsid w:val="00857207"/>
    <w:rsid w:val="00B0498D"/>
    <w:rsid w:val="00C11696"/>
    <w:rsid w:val="00D033EA"/>
    <w:rsid w:val="00D576E4"/>
    <w:rsid w:val="00DE4BE5"/>
    <w:rsid w:val="00DF58D4"/>
    <w:rsid w:val="00E65B52"/>
    <w:rsid w:val="00F802E4"/>
    <w:rsid w:val="00F923F9"/>
    <w:rsid w:val="01C901A1"/>
    <w:rsid w:val="01EC3E90"/>
    <w:rsid w:val="021A3740"/>
    <w:rsid w:val="02693733"/>
    <w:rsid w:val="02912BEC"/>
    <w:rsid w:val="0471044C"/>
    <w:rsid w:val="04AA54A1"/>
    <w:rsid w:val="04FB7680"/>
    <w:rsid w:val="053A3164"/>
    <w:rsid w:val="074402CA"/>
    <w:rsid w:val="082C2976"/>
    <w:rsid w:val="08ED2854"/>
    <w:rsid w:val="09615163"/>
    <w:rsid w:val="0A3F1B1B"/>
    <w:rsid w:val="0B193467"/>
    <w:rsid w:val="0BE341F2"/>
    <w:rsid w:val="0C952804"/>
    <w:rsid w:val="0F1113DA"/>
    <w:rsid w:val="1001302C"/>
    <w:rsid w:val="109C2F25"/>
    <w:rsid w:val="10FB0EEF"/>
    <w:rsid w:val="12402856"/>
    <w:rsid w:val="132A707B"/>
    <w:rsid w:val="152930B5"/>
    <w:rsid w:val="172D2B29"/>
    <w:rsid w:val="196A7602"/>
    <w:rsid w:val="1A4563DB"/>
    <w:rsid w:val="1A516B2E"/>
    <w:rsid w:val="1ABB3C36"/>
    <w:rsid w:val="1CA47E81"/>
    <w:rsid w:val="1DF35965"/>
    <w:rsid w:val="1E34475E"/>
    <w:rsid w:val="1EA77F37"/>
    <w:rsid w:val="20D12411"/>
    <w:rsid w:val="226A61B0"/>
    <w:rsid w:val="227315D1"/>
    <w:rsid w:val="22FF35CB"/>
    <w:rsid w:val="24134E54"/>
    <w:rsid w:val="247B1FD9"/>
    <w:rsid w:val="26692F9C"/>
    <w:rsid w:val="2675172F"/>
    <w:rsid w:val="27550B20"/>
    <w:rsid w:val="27850FEB"/>
    <w:rsid w:val="27B243C9"/>
    <w:rsid w:val="27B506FD"/>
    <w:rsid w:val="2A3E27A2"/>
    <w:rsid w:val="2C66553C"/>
    <w:rsid w:val="2D4B2309"/>
    <w:rsid w:val="2E5B3DBF"/>
    <w:rsid w:val="2F522CD5"/>
    <w:rsid w:val="30271214"/>
    <w:rsid w:val="319E404D"/>
    <w:rsid w:val="32E41096"/>
    <w:rsid w:val="34BA37F6"/>
    <w:rsid w:val="389E48A6"/>
    <w:rsid w:val="38EA21D0"/>
    <w:rsid w:val="38F117B0"/>
    <w:rsid w:val="3AAC0083"/>
    <w:rsid w:val="3C7C5F3B"/>
    <w:rsid w:val="3DFC0A8C"/>
    <w:rsid w:val="3E7D29C8"/>
    <w:rsid w:val="3E821842"/>
    <w:rsid w:val="423679F8"/>
    <w:rsid w:val="43B35E32"/>
    <w:rsid w:val="442869F9"/>
    <w:rsid w:val="443B5BBB"/>
    <w:rsid w:val="45A9729F"/>
    <w:rsid w:val="467D4684"/>
    <w:rsid w:val="4715598F"/>
    <w:rsid w:val="4AF0127D"/>
    <w:rsid w:val="4EDB463D"/>
    <w:rsid w:val="4FBA24A4"/>
    <w:rsid w:val="4FE74DC9"/>
    <w:rsid w:val="503D2C09"/>
    <w:rsid w:val="5397282A"/>
    <w:rsid w:val="54410CAC"/>
    <w:rsid w:val="56950233"/>
    <w:rsid w:val="5760060E"/>
    <w:rsid w:val="57770C7B"/>
    <w:rsid w:val="585A2170"/>
    <w:rsid w:val="587A4999"/>
    <w:rsid w:val="59356AD9"/>
    <w:rsid w:val="59A41605"/>
    <w:rsid w:val="5B8F75BC"/>
    <w:rsid w:val="5BCF1086"/>
    <w:rsid w:val="5D0460D0"/>
    <w:rsid w:val="5D377FFE"/>
    <w:rsid w:val="5DAC5E5F"/>
    <w:rsid w:val="5DFB41B8"/>
    <w:rsid w:val="5E565A8E"/>
    <w:rsid w:val="5E5B006A"/>
    <w:rsid w:val="5EB015FA"/>
    <w:rsid w:val="5EB804F7"/>
    <w:rsid w:val="5F607E16"/>
    <w:rsid w:val="60BA0101"/>
    <w:rsid w:val="643A375C"/>
    <w:rsid w:val="66CD02B1"/>
    <w:rsid w:val="66D87988"/>
    <w:rsid w:val="677C0F4B"/>
    <w:rsid w:val="69AB3F71"/>
    <w:rsid w:val="6B79280B"/>
    <w:rsid w:val="6BF63CD3"/>
    <w:rsid w:val="6D713DD1"/>
    <w:rsid w:val="701E34B3"/>
    <w:rsid w:val="7092012E"/>
    <w:rsid w:val="727662A7"/>
    <w:rsid w:val="72A53A36"/>
    <w:rsid w:val="73FF670B"/>
    <w:rsid w:val="753C7334"/>
    <w:rsid w:val="760101ED"/>
    <w:rsid w:val="78104AA8"/>
    <w:rsid w:val="784F737E"/>
    <w:rsid w:val="78D855C6"/>
    <w:rsid w:val="7AFD2358"/>
    <w:rsid w:val="7B0A3E91"/>
    <w:rsid w:val="7B9F2B75"/>
    <w:rsid w:val="7CE00EED"/>
    <w:rsid w:val="7D2232B3"/>
    <w:rsid w:val="7E2C0E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5B52"/>
    <w:pPr>
      <w:widowControl w:val="0"/>
      <w:ind w:firstLineChars="200" w:firstLine="600"/>
      <w:jc w:val="both"/>
    </w:pPr>
    <w:rPr>
      <w:rFonts w:asciiTheme="minorHAnsi" w:hAnsiTheme="minorHAnsi" w:cstheme="minorBidi"/>
      <w:kern w:val="2"/>
      <w:sz w:val="28"/>
      <w:szCs w:val="24"/>
    </w:rPr>
  </w:style>
  <w:style w:type="paragraph" w:styleId="1">
    <w:name w:val="heading 1"/>
    <w:basedOn w:val="a"/>
    <w:next w:val="a"/>
    <w:qFormat/>
    <w:rsid w:val="00E65B52"/>
    <w:pPr>
      <w:keepNext/>
      <w:keepLines/>
      <w:spacing w:line="576" w:lineRule="auto"/>
      <w:outlineLvl w:val="0"/>
    </w:pPr>
    <w:rPr>
      <w:b/>
      <w:kern w:val="44"/>
      <w:sz w:val="32"/>
    </w:rPr>
  </w:style>
  <w:style w:type="paragraph" w:styleId="2">
    <w:name w:val="heading 2"/>
    <w:basedOn w:val="a"/>
    <w:next w:val="a"/>
    <w:unhideWhenUsed/>
    <w:qFormat/>
    <w:rsid w:val="00E65B52"/>
    <w:pPr>
      <w:keepNext/>
      <w:keepLines/>
      <w:spacing w:line="413" w:lineRule="auto"/>
      <w:outlineLvl w:val="1"/>
    </w:pPr>
    <w:rPr>
      <w:rFonts w:ascii="Arial"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E65B52"/>
    <w:rPr>
      <w:sz w:val="18"/>
      <w:szCs w:val="18"/>
    </w:rPr>
  </w:style>
  <w:style w:type="paragraph" w:styleId="a4">
    <w:name w:val="footer"/>
    <w:basedOn w:val="a"/>
    <w:qFormat/>
    <w:rsid w:val="00E65B52"/>
    <w:pPr>
      <w:tabs>
        <w:tab w:val="center" w:pos="4153"/>
        <w:tab w:val="right" w:pos="8306"/>
      </w:tabs>
      <w:snapToGrid w:val="0"/>
      <w:jc w:val="left"/>
    </w:pPr>
    <w:rPr>
      <w:sz w:val="18"/>
    </w:rPr>
  </w:style>
  <w:style w:type="paragraph" w:styleId="a5">
    <w:name w:val="header"/>
    <w:basedOn w:val="a"/>
    <w:qFormat/>
    <w:rsid w:val="00E65B5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Bodytext1">
    <w:name w:val="Body text|1"/>
    <w:basedOn w:val="a"/>
    <w:qFormat/>
    <w:rsid w:val="00E65B52"/>
    <w:pPr>
      <w:spacing w:line="391" w:lineRule="auto"/>
      <w:ind w:firstLine="400"/>
    </w:pPr>
    <w:rPr>
      <w:rFonts w:ascii="宋体" w:hAnsi="宋体" w:cs="宋体"/>
      <w:sz w:val="30"/>
      <w:szCs w:val="30"/>
      <w:lang w:val="zh-TW" w:eastAsia="zh-TW" w:bidi="zh-TW"/>
    </w:rPr>
  </w:style>
  <w:style w:type="paragraph" w:customStyle="1" w:styleId="WPSOffice1">
    <w:name w:val="WPSOffice手动目录 1"/>
    <w:qFormat/>
    <w:rsid w:val="00E65B52"/>
    <w:rPr>
      <w:rFonts w:asciiTheme="minorHAnsi" w:eastAsiaTheme="minorEastAsia" w:hAnsiTheme="minorHAnsi" w:cstheme="minorBidi"/>
    </w:rPr>
  </w:style>
  <w:style w:type="paragraph" w:customStyle="1" w:styleId="WPSOffice2">
    <w:name w:val="WPSOffice手动目录 2"/>
    <w:qFormat/>
    <w:rsid w:val="00E65B52"/>
    <w:pPr>
      <w:ind w:leftChars="200" w:left="200"/>
    </w:pPr>
    <w:rPr>
      <w:rFonts w:asciiTheme="minorHAnsi" w:eastAsiaTheme="minorEastAsia" w:hAnsiTheme="minorHAnsi" w:cstheme="minorBidi"/>
    </w:rPr>
  </w:style>
  <w:style w:type="paragraph" w:customStyle="1" w:styleId="TableParagraph">
    <w:name w:val="Table Paragraph"/>
    <w:basedOn w:val="a"/>
    <w:uiPriority w:val="1"/>
    <w:unhideWhenUsed/>
    <w:qFormat/>
    <w:rsid w:val="00E65B52"/>
    <w:rPr>
      <w:rFonts w:hint="eastAsia"/>
      <w:sz w:val="22"/>
      <w:szCs w:val="22"/>
    </w:rPr>
  </w:style>
  <w:style w:type="character" w:customStyle="1" w:styleId="Char">
    <w:name w:val="批注框文本 Char"/>
    <w:basedOn w:val="a0"/>
    <w:link w:val="a3"/>
    <w:qFormat/>
    <w:rsid w:val="00E65B52"/>
    <w:rPr>
      <w:rFonts w:eastAsia="宋体"/>
      <w:kern w:val="2"/>
      <w:sz w:val="18"/>
      <w:szCs w:val="18"/>
    </w:rPr>
  </w:style>
  <w:style w:type="paragraph" w:customStyle="1" w:styleId="p0">
    <w:name w:val="p0"/>
    <w:basedOn w:val="a"/>
    <w:rsid w:val="00497627"/>
    <w:pPr>
      <w:widowControl/>
      <w:spacing w:before="100" w:beforeAutospacing="1" w:after="100" w:afterAutospacing="1"/>
      <w:ind w:firstLineChars="0" w:firstLine="0"/>
      <w:jc w:val="left"/>
    </w:pPr>
    <w:rPr>
      <w:rFonts w:ascii="宋体" w:hAnsi="宋体" w:cs="宋体"/>
      <w:color w:val="000000"/>
      <w:kern w:val="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7"/>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2868</Words>
  <Characters>16350</Characters>
  <Application>Microsoft Office Word</Application>
  <DocSecurity>0</DocSecurity>
  <Lines>136</Lines>
  <Paragraphs>38</Paragraphs>
  <ScaleCrop>false</ScaleCrop>
  <Company/>
  <LinksUpToDate>false</LinksUpToDate>
  <CharactersWithSpaces>19180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vivian</dc:creator>
  <cp:lastModifiedBy>admin</cp:lastModifiedBy>
  <cp:revision>9</cp:revision>
  <cp:lastPrinted>2021-08-26T08:33:00Z</cp:lastPrinted>
  <dcterms:created xsi:type="dcterms:W3CDTF">2021-07-16T01:00:00Z</dcterms:created>
  <dcterms:modified xsi:type="dcterms:W3CDTF">2022-09-29T08:31:00Z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A3F86071CA08489BAEDF83F244C88BE1</vt:lpwstr>
  </property>
</Properties>
</file>