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cs="宋体"/>
          <w:sz w:val="52"/>
          <w:szCs w:val="52"/>
        </w:rPr>
      </w:pPr>
      <w:bookmarkStart w:id="32" w:name="_GoBack"/>
      <w:bookmarkEnd w:id="32"/>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hint="default" w:ascii="方正小标宋_GBK" w:hAnsi="宋体" w:eastAsia="方正小标宋_GBK" w:cs="宋体"/>
          <w:sz w:val="52"/>
          <w:szCs w:val="52"/>
          <w:lang w:val="en-US" w:eastAsia="zh-CN"/>
        </w:rPr>
      </w:pPr>
      <w:r>
        <w:rPr>
          <w:rFonts w:hint="eastAsia" w:ascii="方正小标宋_GBK" w:hAnsi="宋体" w:eastAsia="方正小标宋_GBK" w:cs="宋体"/>
          <w:sz w:val="52"/>
          <w:szCs w:val="52"/>
          <w:lang w:val="en-US" w:eastAsia="zh-CN"/>
        </w:rPr>
        <w:t>连云港市市政公用事业发展中心</w:t>
      </w:r>
    </w:p>
    <w:p>
      <w:pPr>
        <w:ind w:firstLine="0" w:firstLineChars="0"/>
        <w:jc w:val="center"/>
        <w:rPr>
          <w:rFonts w:ascii="方正小标宋_GBK" w:hAnsi="宋体" w:eastAsia="方正小标宋_GBK" w:cs="宋体"/>
          <w:sz w:val="52"/>
          <w:szCs w:val="52"/>
        </w:rPr>
      </w:pPr>
      <w:r>
        <w:rPr>
          <w:rFonts w:hint="eastAsia" w:ascii="方正小标宋_GBK" w:hAnsi="宋体" w:eastAsia="方正小标宋_GBK" w:cs="宋体"/>
          <w:sz w:val="52"/>
          <w:szCs w:val="52"/>
        </w:rPr>
        <w:t>整体绩效评价报告</w:t>
      </w: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1040"/>
        <w:jc w:val="center"/>
        <w:rPr>
          <w:rFonts w:ascii="宋体" w:hAnsi="宋体" w:cs="宋体"/>
          <w:sz w:val="52"/>
          <w:szCs w:val="52"/>
        </w:rPr>
      </w:pPr>
    </w:p>
    <w:p>
      <w:pPr>
        <w:ind w:firstLine="1040"/>
        <w:jc w:val="center"/>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0" w:firstLineChars="0"/>
        <w:jc w:val="center"/>
        <w:rPr>
          <w:rFonts w:hint="default" w:eastAsia="宋体"/>
          <w:szCs w:val="28"/>
          <w:lang w:val="en-US" w:eastAsia="zh-CN"/>
        </w:rPr>
      </w:pPr>
      <w:r>
        <w:rPr>
          <w:rFonts w:hint="eastAsia"/>
          <w:szCs w:val="28"/>
        </w:rPr>
        <w:t>评价单位：</w:t>
      </w:r>
      <w:r>
        <w:rPr>
          <w:rFonts w:hint="eastAsia"/>
          <w:szCs w:val="28"/>
          <w:lang w:val="en-US" w:eastAsia="zh-CN"/>
        </w:rPr>
        <w:t>连云港市市政公用事业发展中心</w:t>
      </w:r>
    </w:p>
    <w:p>
      <w:pPr>
        <w:ind w:firstLine="0" w:firstLineChars="0"/>
        <w:jc w:val="center"/>
      </w:pPr>
      <w:r>
        <w:rPr>
          <w:rFonts w:hint="eastAsia"/>
          <w:szCs w:val="28"/>
        </w:rPr>
        <w:t>报告时间：二零二</w:t>
      </w:r>
      <w:r>
        <w:rPr>
          <w:rFonts w:hint="eastAsia"/>
          <w:szCs w:val="28"/>
          <w:lang w:val="en-US" w:eastAsia="zh-CN"/>
        </w:rPr>
        <w:t>二</w:t>
      </w:r>
      <w:r>
        <w:rPr>
          <w:rFonts w:hint="eastAsia"/>
          <w:szCs w:val="28"/>
        </w:rPr>
        <w:t>年</w:t>
      </w:r>
      <w:r>
        <w:rPr>
          <w:rFonts w:hint="eastAsia"/>
          <w:szCs w:val="28"/>
          <w:lang w:val="en-US" w:eastAsia="zh-CN"/>
        </w:rPr>
        <w:t>九</w:t>
      </w:r>
      <w:r>
        <w:rPr>
          <w:rFonts w:hint="eastAsia"/>
          <w:szCs w:val="28"/>
        </w:rPr>
        <w:t>月</w:t>
      </w:r>
    </w:p>
    <w:p>
      <w:pPr>
        <w:ind w:firstLine="560"/>
        <w:jc w:val="right"/>
      </w:pPr>
    </w:p>
    <w:p>
      <w:pPr>
        <w:ind w:firstLine="560"/>
        <w:jc w:val="right"/>
        <w:sectPr>
          <w:pgSz w:w="11906" w:h="16838"/>
          <w:pgMar w:top="1440" w:right="1800" w:bottom="1440" w:left="1800" w:header="851" w:footer="992" w:gutter="0"/>
          <w:pgNumType w:start="1"/>
          <w:cols w:space="425" w:num="1"/>
          <w:docGrid w:type="lines" w:linePitch="312" w:charSpace="0"/>
        </w:sectPr>
      </w:pPr>
    </w:p>
    <w:p>
      <w:pPr>
        <w:ind w:firstLine="0" w:firstLineChars="0"/>
        <w:rPr>
          <w:b/>
          <w:sz w:val="32"/>
          <w:szCs w:val="32"/>
        </w:rPr>
      </w:pPr>
      <w:r>
        <w:rPr>
          <w:rFonts w:hint="eastAsia"/>
          <w:b/>
          <w:sz w:val="32"/>
          <w:szCs w:val="32"/>
        </w:rPr>
        <w:t xml:space="preserve">评价小组 </w:t>
      </w:r>
    </w:p>
    <w:p>
      <w:pPr>
        <w:ind w:firstLine="0" w:firstLineChars="0"/>
        <w:rPr>
          <w:sz w:val="32"/>
          <w:szCs w:val="32"/>
        </w:rPr>
      </w:pPr>
      <w:r>
        <w:rPr>
          <w:rFonts w:hint="eastAsia"/>
          <w:sz w:val="32"/>
          <w:szCs w:val="32"/>
        </w:rPr>
        <w:t>组  长：</w:t>
      </w:r>
      <w:r>
        <w:rPr>
          <w:rFonts w:hint="eastAsia"/>
          <w:sz w:val="30"/>
          <w:szCs w:val="30"/>
        </w:rPr>
        <w:t>张元伦</w:t>
      </w:r>
    </w:p>
    <w:p>
      <w:pPr>
        <w:ind w:firstLine="0" w:firstLineChars="0"/>
        <w:rPr>
          <w:rFonts w:hint="eastAsia"/>
          <w:sz w:val="32"/>
          <w:szCs w:val="32"/>
        </w:rPr>
      </w:pPr>
      <w:r>
        <w:rPr>
          <w:rFonts w:hint="eastAsia"/>
          <w:sz w:val="32"/>
          <w:szCs w:val="32"/>
        </w:rPr>
        <w:t>副组长：</w:t>
      </w:r>
      <w:r>
        <w:rPr>
          <w:rFonts w:hint="eastAsia"/>
          <w:sz w:val="30"/>
          <w:szCs w:val="30"/>
        </w:rPr>
        <w:t>刘  成   杨庆喜    相  华</w:t>
      </w:r>
    </w:p>
    <w:p>
      <w:pPr>
        <w:ind w:left="0" w:leftChars="0" w:firstLine="0" w:firstLineChars="0"/>
        <w:rPr>
          <w:rFonts w:hint="eastAsia"/>
          <w:sz w:val="30"/>
          <w:szCs w:val="30"/>
        </w:rPr>
      </w:pPr>
      <w:r>
        <w:rPr>
          <w:sz w:val="32"/>
          <w:szCs w:val="32"/>
        </w:rPr>
        <w:t>成</w:t>
      </w:r>
      <w:r>
        <w:rPr>
          <w:rFonts w:hint="eastAsia"/>
          <w:sz w:val="32"/>
          <w:szCs w:val="32"/>
        </w:rPr>
        <w:t xml:space="preserve">  </w:t>
      </w:r>
      <w:r>
        <w:rPr>
          <w:sz w:val="32"/>
          <w:szCs w:val="32"/>
        </w:rPr>
        <w:t>员</w:t>
      </w:r>
      <w:r>
        <w:rPr>
          <w:rFonts w:hint="eastAsia"/>
          <w:sz w:val="32"/>
          <w:szCs w:val="32"/>
        </w:rPr>
        <w:t>：</w:t>
      </w:r>
      <w:r>
        <w:rPr>
          <w:rFonts w:hint="eastAsia"/>
          <w:sz w:val="30"/>
          <w:szCs w:val="30"/>
        </w:rPr>
        <w:t>吴浩俊   王  磊    池贵全   李  野   韦有斌</w:t>
      </w:r>
    </w:p>
    <w:p>
      <w:pPr>
        <w:rPr>
          <w:rFonts w:hint="default" w:eastAsia="宋体"/>
          <w:lang w:val="en-US" w:eastAsia="zh-CN"/>
        </w:rPr>
      </w:pPr>
      <w:r>
        <w:rPr>
          <w:rFonts w:hint="eastAsia"/>
          <w:lang w:val="en-US" w:eastAsia="zh-CN"/>
        </w:rPr>
        <w:t xml:space="preserve">     </w:t>
      </w:r>
      <w:r>
        <w:rPr>
          <w:rFonts w:hint="eastAsia"/>
          <w:sz w:val="30"/>
          <w:szCs w:val="30"/>
        </w:rPr>
        <w:t>张  涛   张桂峰    丁光训   张来任   孙卫东</w:t>
      </w:r>
    </w:p>
    <w:p>
      <w:pPr>
        <w:ind w:firstLine="1200" w:firstLineChars="400"/>
      </w:pPr>
      <w:r>
        <w:rPr>
          <w:rFonts w:hint="eastAsia"/>
          <w:sz w:val="30"/>
          <w:szCs w:val="30"/>
        </w:rPr>
        <w:t>范艳丽   陈 杰     相</w:t>
      </w:r>
      <w:r>
        <w:rPr>
          <w:rFonts w:hint="eastAsia"/>
          <w:sz w:val="30"/>
          <w:szCs w:val="30"/>
          <w:lang w:val="en-US" w:eastAsia="zh-CN"/>
        </w:rPr>
        <w:t xml:space="preserve">  </w:t>
      </w:r>
      <w:r>
        <w:rPr>
          <w:rFonts w:hint="eastAsia"/>
          <w:sz w:val="30"/>
          <w:szCs w:val="30"/>
        </w:rPr>
        <w:t>妍</w:t>
      </w: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0" w:firstLineChars="0"/>
        <w:jc w:val="center"/>
        <w:rPr>
          <w:rFonts w:ascii="宋体" w:hAnsi="宋体"/>
          <w:sz w:val="52"/>
          <w:szCs w:val="52"/>
        </w:rPr>
        <w:sectPr>
          <w:footerReference r:id="rId5" w:type="default"/>
          <w:pgSz w:w="11906" w:h="16838"/>
          <w:pgMar w:top="1440" w:right="1800" w:bottom="1440" w:left="1800" w:header="851" w:footer="992" w:gutter="0"/>
          <w:cols w:space="425" w:num="1"/>
          <w:docGrid w:type="lines" w:linePitch="312" w:charSpace="0"/>
        </w:sectPr>
      </w:pPr>
    </w:p>
    <w:sdt>
      <w:sdtPr>
        <w:rPr>
          <w:rFonts w:ascii="宋体" w:hAnsi="宋体"/>
          <w:sz w:val="52"/>
          <w:szCs w:val="52"/>
        </w:rPr>
        <w:id w:val="147459091"/>
        <w:docPartObj>
          <w:docPartGallery w:val="Table of Contents"/>
          <w:docPartUnique/>
        </w:docPartObj>
      </w:sdtPr>
      <w:sdtEndPr>
        <w:rPr>
          <w:rFonts w:ascii="宋体" w:hAnsi="宋体"/>
          <w:b/>
          <w:sz w:val="52"/>
          <w:szCs w:val="52"/>
        </w:rPr>
      </w:sdtEndPr>
      <w:sdtContent>
        <w:p>
          <w:pPr>
            <w:ind w:firstLine="0" w:firstLineChars="0"/>
            <w:jc w:val="center"/>
            <w:rPr>
              <w:sz w:val="32"/>
              <w:szCs w:val="32"/>
            </w:rPr>
          </w:pPr>
          <w:r>
            <w:rPr>
              <w:rFonts w:ascii="宋体" w:hAnsi="宋体"/>
              <w:sz w:val="32"/>
              <w:szCs w:val="32"/>
            </w:rPr>
            <w:t>目录</w:t>
          </w:r>
        </w:p>
        <w:p>
          <w:pPr>
            <w:pStyle w:val="11"/>
            <w:tabs>
              <w:tab w:val="right" w:leader="dot" w:pos="8306"/>
            </w:tabs>
            <w:rPr>
              <w:b/>
            </w:rPr>
          </w:pPr>
          <w:r>
            <w:fldChar w:fldCharType="begin"/>
          </w:r>
          <w:r>
            <w:instrText xml:space="preserve">TOC \o "1-2" \h \u </w:instrText>
          </w:r>
          <w:r>
            <w:fldChar w:fldCharType="separate"/>
          </w:r>
          <w:r>
            <w:fldChar w:fldCharType="begin"/>
          </w:r>
          <w:r>
            <w:instrText xml:space="preserve"> HYPERLINK \l "_Toc4257" </w:instrText>
          </w:r>
          <w:r>
            <w:fldChar w:fldCharType="separate"/>
          </w:r>
          <w:r>
            <w:rPr>
              <w:rFonts w:hint="eastAsia"/>
              <w:b/>
              <w:sz w:val="28"/>
              <w:szCs w:val="28"/>
            </w:rPr>
            <w:t>1、引言</w:t>
          </w:r>
          <w:r>
            <w:rPr>
              <w:b/>
              <w:sz w:val="28"/>
              <w:szCs w:val="28"/>
            </w:rPr>
            <w:tab/>
          </w:r>
          <w:r>
            <w:rPr>
              <w:rFonts w:hint="eastAsia"/>
              <w:b/>
              <w:sz w:val="28"/>
              <w:szCs w:val="28"/>
              <w:lang w:val="en-US" w:eastAsia="zh-CN"/>
            </w:rPr>
            <w:t>1</w:t>
          </w:r>
          <w:r>
            <w:rPr>
              <w:rFonts w:hint="eastAsia"/>
              <w:b/>
              <w:sz w:val="28"/>
              <w:szCs w:val="28"/>
            </w:rPr>
            <w:fldChar w:fldCharType="end"/>
          </w:r>
        </w:p>
        <w:p>
          <w:pPr>
            <w:pStyle w:val="12"/>
            <w:tabs>
              <w:tab w:val="right" w:leader="dot" w:pos="8306"/>
            </w:tabs>
            <w:ind w:left="560"/>
            <w:rPr>
              <w:sz w:val="28"/>
              <w:szCs w:val="28"/>
            </w:rPr>
          </w:pPr>
          <w:r>
            <w:fldChar w:fldCharType="begin"/>
          </w:r>
          <w:r>
            <w:instrText xml:space="preserve"> HYPERLINK \l "_Toc32450" </w:instrText>
          </w:r>
          <w:r>
            <w:fldChar w:fldCharType="separate"/>
          </w:r>
          <w:r>
            <w:rPr>
              <w:rFonts w:hint="eastAsia"/>
              <w:sz w:val="28"/>
              <w:szCs w:val="28"/>
            </w:rPr>
            <w:t>1.1、部门职责概述</w:t>
          </w:r>
          <w:r>
            <w:rPr>
              <w:sz w:val="28"/>
              <w:szCs w:val="28"/>
            </w:rPr>
            <w:tab/>
          </w:r>
          <w:r>
            <w:rPr>
              <w:sz w:val="28"/>
              <w:szCs w:val="28"/>
            </w:rPr>
            <w:fldChar w:fldCharType="begin"/>
          </w:r>
          <w:r>
            <w:rPr>
              <w:sz w:val="28"/>
              <w:szCs w:val="28"/>
            </w:rPr>
            <w:instrText xml:space="preserve"> PAGEREF _Toc32450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2"/>
            <w:tabs>
              <w:tab w:val="right" w:leader="dot" w:pos="8306"/>
            </w:tabs>
            <w:ind w:left="560"/>
            <w:rPr>
              <w:sz w:val="28"/>
              <w:szCs w:val="28"/>
            </w:rPr>
          </w:pPr>
          <w:r>
            <w:fldChar w:fldCharType="begin"/>
          </w:r>
          <w:r>
            <w:instrText xml:space="preserve"> HYPERLINK \l "_Toc30388" </w:instrText>
          </w:r>
          <w:r>
            <w:fldChar w:fldCharType="separate"/>
          </w:r>
          <w:r>
            <w:rPr>
              <w:rFonts w:hint="eastAsia"/>
              <w:sz w:val="28"/>
              <w:szCs w:val="28"/>
            </w:rPr>
            <w:t>1.2、部门收支描述</w:t>
          </w:r>
          <w:r>
            <w:rPr>
              <w:sz w:val="28"/>
              <w:szCs w:val="28"/>
            </w:rPr>
            <w:tab/>
          </w:r>
          <w:r>
            <w:rPr>
              <w:sz w:val="28"/>
              <w:szCs w:val="28"/>
            </w:rPr>
            <w:fldChar w:fldCharType="begin"/>
          </w:r>
          <w:r>
            <w:rPr>
              <w:sz w:val="28"/>
              <w:szCs w:val="28"/>
            </w:rPr>
            <w:instrText xml:space="preserve"> PAGEREF _Toc30388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2"/>
            <w:tabs>
              <w:tab w:val="right" w:leader="dot" w:pos="8306"/>
            </w:tabs>
            <w:ind w:left="560"/>
            <w:rPr>
              <w:sz w:val="28"/>
              <w:szCs w:val="28"/>
            </w:rPr>
          </w:pPr>
          <w:r>
            <w:fldChar w:fldCharType="begin"/>
          </w:r>
          <w:r>
            <w:instrText xml:space="preserve"> HYPERLINK \l "_Toc6798" </w:instrText>
          </w:r>
          <w:r>
            <w:fldChar w:fldCharType="separate"/>
          </w:r>
          <w:r>
            <w:rPr>
              <w:rFonts w:hint="eastAsia"/>
              <w:sz w:val="28"/>
              <w:szCs w:val="28"/>
            </w:rPr>
            <w:t>1.3、部门项目实施情况</w:t>
          </w:r>
          <w:r>
            <w:rPr>
              <w:sz w:val="28"/>
              <w:szCs w:val="28"/>
            </w:rPr>
            <w:tab/>
          </w:r>
          <w:r>
            <w:rPr>
              <w:sz w:val="28"/>
              <w:szCs w:val="28"/>
            </w:rPr>
            <w:fldChar w:fldCharType="begin"/>
          </w:r>
          <w:r>
            <w:rPr>
              <w:sz w:val="28"/>
              <w:szCs w:val="28"/>
            </w:rPr>
            <w:instrText xml:space="preserve"> PAGEREF _Toc6798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1"/>
            <w:tabs>
              <w:tab w:val="right" w:leader="dot" w:pos="8306"/>
            </w:tabs>
            <w:rPr>
              <w:rFonts w:hint="default" w:eastAsiaTheme="minorEastAsia"/>
              <w:b/>
              <w:sz w:val="28"/>
              <w:szCs w:val="28"/>
              <w:lang w:val="en-US" w:eastAsia="zh-CN"/>
            </w:rPr>
          </w:pPr>
          <w:r>
            <w:fldChar w:fldCharType="begin"/>
          </w:r>
          <w:r>
            <w:instrText xml:space="preserve"> HYPERLINK \l "_Toc21468" </w:instrText>
          </w:r>
          <w:r>
            <w:fldChar w:fldCharType="separate"/>
          </w:r>
          <w:r>
            <w:rPr>
              <w:rFonts w:hint="eastAsia"/>
              <w:b/>
              <w:sz w:val="28"/>
              <w:szCs w:val="28"/>
            </w:rPr>
            <w:t>2、绩效评价概述</w:t>
          </w:r>
          <w:r>
            <w:rPr>
              <w:b/>
              <w:sz w:val="28"/>
              <w:szCs w:val="28"/>
            </w:rPr>
            <w:tab/>
          </w:r>
          <w:r>
            <w:rPr>
              <w:b/>
              <w:sz w:val="28"/>
              <w:szCs w:val="28"/>
            </w:rPr>
            <w:fldChar w:fldCharType="end"/>
          </w:r>
          <w:r>
            <w:rPr>
              <w:rFonts w:hint="eastAsia"/>
              <w:b/>
              <w:sz w:val="28"/>
              <w:szCs w:val="28"/>
              <w:lang w:val="en-US" w:eastAsia="zh-CN"/>
            </w:rPr>
            <w:t>3</w:t>
          </w:r>
        </w:p>
        <w:p>
          <w:pPr>
            <w:pStyle w:val="12"/>
            <w:tabs>
              <w:tab w:val="right" w:leader="dot" w:pos="8306"/>
            </w:tabs>
            <w:ind w:left="560"/>
            <w:rPr>
              <w:rFonts w:hint="eastAsia" w:eastAsiaTheme="minorEastAsia"/>
              <w:sz w:val="28"/>
              <w:szCs w:val="28"/>
              <w:lang w:val="en-US" w:eastAsia="zh-CN"/>
            </w:rPr>
          </w:pPr>
          <w:r>
            <w:fldChar w:fldCharType="begin"/>
          </w:r>
          <w:r>
            <w:instrText xml:space="preserve"> HYPERLINK \l "_Toc8589" </w:instrText>
          </w:r>
          <w:r>
            <w:fldChar w:fldCharType="separate"/>
          </w:r>
          <w:r>
            <w:rPr>
              <w:rFonts w:hint="eastAsia"/>
              <w:sz w:val="28"/>
              <w:szCs w:val="28"/>
            </w:rPr>
            <w:t>2.1、绩效评价目的</w:t>
          </w:r>
          <w:r>
            <w:rPr>
              <w:sz w:val="28"/>
              <w:szCs w:val="28"/>
            </w:rPr>
            <w:tab/>
          </w:r>
          <w:r>
            <w:rPr>
              <w:sz w:val="28"/>
              <w:szCs w:val="28"/>
            </w:rPr>
            <w:fldChar w:fldCharType="end"/>
          </w:r>
          <w:r>
            <w:rPr>
              <w:rFonts w:hint="eastAsia"/>
              <w:sz w:val="28"/>
              <w:szCs w:val="28"/>
              <w:lang w:val="en-US" w:eastAsia="zh-CN"/>
            </w:rPr>
            <w:t>3</w:t>
          </w:r>
        </w:p>
        <w:p>
          <w:pPr>
            <w:pStyle w:val="12"/>
            <w:tabs>
              <w:tab w:val="right" w:leader="dot" w:pos="8306"/>
            </w:tabs>
            <w:ind w:left="560"/>
            <w:rPr>
              <w:sz w:val="28"/>
              <w:szCs w:val="28"/>
            </w:rPr>
          </w:pPr>
          <w:r>
            <w:fldChar w:fldCharType="begin"/>
          </w:r>
          <w:r>
            <w:instrText xml:space="preserve"> HYPERLINK \l "_Toc21273" </w:instrText>
          </w:r>
          <w:r>
            <w:fldChar w:fldCharType="separate"/>
          </w:r>
          <w:r>
            <w:rPr>
              <w:rFonts w:hint="eastAsia"/>
              <w:sz w:val="28"/>
              <w:szCs w:val="28"/>
            </w:rPr>
            <w:t>2.2、绩效评价实施过程</w:t>
          </w:r>
          <w:r>
            <w:rPr>
              <w:sz w:val="28"/>
              <w:szCs w:val="28"/>
            </w:rPr>
            <w:tab/>
          </w:r>
          <w:r>
            <w:rPr>
              <w:sz w:val="28"/>
              <w:szCs w:val="28"/>
            </w:rPr>
            <w:fldChar w:fldCharType="begin"/>
          </w:r>
          <w:r>
            <w:rPr>
              <w:sz w:val="28"/>
              <w:szCs w:val="28"/>
            </w:rPr>
            <w:instrText xml:space="preserve"> PAGEREF _Toc21273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2"/>
            <w:tabs>
              <w:tab w:val="right" w:leader="dot" w:pos="8306"/>
            </w:tabs>
            <w:ind w:left="560"/>
            <w:rPr>
              <w:sz w:val="28"/>
              <w:szCs w:val="28"/>
            </w:rPr>
          </w:pPr>
          <w:r>
            <w:fldChar w:fldCharType="begin"/>
          </w:r>
          <w:r>
            <w:instrText xml:space="preserve"> HYPERLINK \l "_Toc6217" </w:instrText>
          </w:r>
          <w:r>
            <w:fldChar w:fldCharType="separate"/>
          </w:r>
          <w:r>
            <w:rPr>
              <w:rFonts w:hint="eastAsia"/>
              <w:sz w:val="28"/>
              <w:szCs w:val="28"/>
            </w:rPr>
            <w:t>2.3、绩效评价的局限性</w:t>
          </w:r>
          <w:r>
            <w:rPr>
              <w:sz w:val="28"/>
              <w:szCs w:val="28"/>
            </w:rPr>
            <w:tab/>
          </w:r>
          <w:r>
            <w:rPr>
              <w:sz w:val="28"/>
              <w:szCs w:val="28"/>
            </w:rPr>
            <w:fldChar w:fldCharType="begin"/>
          </w:r>
          <w:r>
            <w:rPr>
              <w:sz w:val="28"/>
              <w:szCs w:val="28"/>
            </w:rPr>
            <w:instrText xml:space="preserve"> PAGEREF _Toc6217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1"/>
            <w:tabs>
              <w:tab w:val="right" w:leader="dot" w:pos="8306"/>
            </w:tabs>
            <w:rPr>
              <w:b/>
              <w:sz w:val="28"/>
              <w:szCs w:val="28"/>
            </w:rPr>
          </w:pPr>
          <w:r>
            <w:fldChar w:fldCharType="begin"/>
          </w:r>
          <w:r>
            <w:instrText xml:space="preserve"> HYPERLINK \l "_Toc32302" </w:instrText>
          </w:r>
          <w:r>
            <w:fldChar w:fldCharType="separate"/>
          </w:r>
          <w:r>
            <w:rPr>
              <w:rFonts w:hint="eastAsia"/>
              <w:b/>
              <w:sz w:val="28"/>
              <w:szCs w:val="28"/>
            </w:rPr>
            <w:t>3、部门整体绩效评价分析</w:t>
          </w:r>
          <w:r>
            <w:rPr>
              <w:b/>
              <w:sz w:val="28"/>
              <w:szCs w:val="28"/>
            </w:rPr>
            <w:tab/>
          </w:r>
          <w:r>
            <w:rPr>
              <w:b/>
              <w:sz w:val="28"/>
              <w:szCs w:val="28"/>
            </w:rPr>
            <w:fldChar w:fldCharType="begin"/>
          </w:r>
          <w:r>
            <w:rPr>
              <w:b/>
              <w:sz w:val="28"/>
              <w:szCs w:val="28"/>
            </w:rPr>
            <w:instrText xml:space="preserve"> PAGEREF _Toc32302 \h </w:instrText>
          </w:r>
          <w:r>
            <w:rPr>
              <w:b/>
              <w:sz w:val="28"/>
              <w:szCs w:val="28"/>
            </w:rPr>
            <w:fldChar w:fldCharType="separate"/>
          </w:r>
          <w:r>
            <w:rPr>
              <w:b/>
              <w:sz w:val="28"/>
              <w:szCs w:val="28"/>
            </w:rPr>
            <w:t>5</w:t>
          </w:r>
          <w:r>
            <w:rPr>
              <w:b/>
              <w:sz w:val="28"/>
              <w:szCs w:val="28"/>
            </w:rPr>
            <w:fldChar w:fldCharType="end"/>
          </w:r>
          <w:r>
            <w:rPr>
              <w:b/>
              <w:sz w:val="28"/>
              <w:szCs w:val="28"/>
            </w:rPr>
            <w:fldChar w:fldCharType="end"/>
          </w:r>
        </w:p>
        <w:p>
          <w:pPr>
            <w:pStyle w:val="12"/>
            <w:tabs>
              <w:tab w:val="right" w:leader="dot" w:pos="8306"/>
            </w:tabs>
            <w:ind w:left="560"/>
            <w:rPr>
              <w:sz w:val="28"/>
              <w:szCs w:val="28"/>
            </w:rPr>
          </w:pPr>
          <w:r>
            <w:fldChar w:fldCharType="begin"/>
          </w:r>
          <w:r>
            <w:instrText xml:space="preserve"> HYPERLINK \l "_Toc9044" </w:instrText>
          </w:r>
          <w:r>
            <w:fldChar w:fldCharType="separate"/>
          </w:r>
          <w:r>
            <w:rPr>
              <w:rFonts w:hint="eastAsia"/>
              <w:sz w:val="28"/>
              <w:szCs w:val="28"/>
            </w:rPr>
            <w:t>3.1、内部管理（各指标得分情况和绩效分析）</w:t>
          </w:r>
          <w:r>
            <w:rPr>
              <w:sz w:val="28"/>
              <w:szCs w:val="28"/>
            </w:rPr>
            <w:tab/>
          </w:r>
          <w:r>
            <w:rPr>
              <w:sz w:val="28"/>
              <w:szCs w:val="28"/>
            </w:rPr>
            <w:fldChar w:fldCharType="begin"/>
          </w:r>
          <w:r>
            <w:rPr>
              <w:sz w:val="28"/>
              <w:szCs w:val="28"/>
            </w:rPr>
            <w:instrText xml:space="preserve"> PAGEREF _Toc9044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2"/>
            <w:tabs>
              <w:tab w:val="right" w:leader="dot" w:pos="8306"/>
            </w:tabs>
            <w:ind w:left="560"/>
            <w:rPr>
              <w:sz w:val="28"/>
              <w:szCs w:val="28"/>
            </w:rPr>
          </w:pPr>
          <w:r>
            <w:fldChar w:fldCharType="begin"/>
          </w:r>
          <w:r>
            <w:instrText xml:space="preserve"> HYPERLINK \l "_Toc2518" </w:instrText>
          </w:r>
          <w:r>
            <w:fldChar w:fldCharType="separate"/>
          </w:r>
          <w:r>
            <w:rPr>
              <w:rFonts w:hint="eastAsia"/>
              <w:sz w:val="28"/>
              <w:szCs w:val="28"/>
            </w:rPr>
            <w:t>3.2、部门履职（各指标得分情况和绩效分析）</w:t>
          </w:r>
          <w:r>
            <w:rPr>
              <w:sz w:val="28"/>
              <w:szCs w:val="28"/>
            </w:rPr>
            <w:tab/>
          </w:r>
          <w:r>
            <w:rPr>
              <w:sz w:val="28"/>
              <w:szCs w:val="28"/>
            </w:rPr>
            <w:fldChar w:fldCharType="begin"/>
          </w:r>
          <w:r>
            <w:rPr>
              <w:sz w:val="28"/>
              <w:szCs w:val="28"/>
            </w:rPr>
            <w:instrText xml:space="preserve"> PAGEREF _Toc2518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1"/>
            <w:tabs>
              <w:tab w:val="right" w:leader="dot" w:pos="8306"/>
            </w:tabs>
            <w:rPr>
              <w:b/>
              <w:sz w:val="28"/>
              <w:szCs w:val="28"/>
            </w:rPr>
          </w:pPr>
          <w:r>
            <w:fldChar w:fldCharType="begin"/>
          </w:r>
          <w:r>
            <w:instrText xml:space="preserve"> HYPERLINK \l "_Toc1315" </w:instrText>
          </w:r>
          <w:r>
            <w:fldChar w:fldCharType="separate"/>
          </w:r>
          <w:r>
            <w:rPr>
              <w:rFonts w:hint="eastAsia"/>
              <w:b/>
              <w:sz w:val="28"/>
              <w:szCs w:val="28"/>
            </w:rPr>
            <w:t>4、需要说明事项</w:t>
          </w:r>
          <w:r>
            <w:rPr>
              <w:b/>
              <w:sz w:val="28"/>
              <w:szCs w:val="28"/>
            </w:rPr>
            <w:tab/>
          </w:r>
          <w:r>
            <w:rPr>
              <w:b/>
              <w:sz w:val="28"/>
              <w:szCs w:val="28"/>
            </w:rPr>
            <w:fldChar w:fldCharType="begin"/>
          </w:r>
          <w:r>
            <w:rPr>
              <w:b/>
              <w:sz w:val="28"/>
              <w:szCs w:val="28"/>
            </w:rPr>
            <w:instrText xml:space="preserve"> PAGEREF _Toc1315 \h </w:instrText>
          </w:r>
          <w:r>
            <w:rPr>
              <w:b/>
              <w:sz w:val="28"/>
              <w:szCs w:val="28"/>
            </w:rPr>
            <w:fldChar w:fldCharType="separate"/>
          </w:r>
          <w:r>
            <w:rPr>
              <w:b/>
              <w:sz w:val="28"/>
              <w:szCs w:val="28"/>
            </w:rPr>
            <w:t>10</w:t>
          </w:r>
          <w:r>
            <w:rPr>
              <w:b/>
              <w:sz w:val="28"/>
              <w:szCs w:val="28"/>
            </w:rPr>
            <w:fldChar w:fldCharType="end"/>
          </w:r>
          <w:r>
            <w:rPr>
              <w:b/>
              <w:sz w:val="28"/>
              <w:szCs w:val="28"/>
            </w:rPr>
            <w:fldChar w:fldCharType="end"/>
          </w:r>
        </w:p>
        <w:p>
          <w:pPr>
            <w:pStyle w:val="11"/>
            <w:tabs>
              <w:tab w:val="right" w:leader="dot" w:pos="8306"/>
            </w:tabs>
            <w:rPr>
              <w:rFonts w:hint="eastAsia" w:eastAsiaTheme="minorEastAsia"/>
              <w:b/>
              <w:sz w:val="28"/>
              <w:szCs w:val="28"/>
              <w:lang w:val="en-US" w:eastAsia="zh-CN"/>
            </w:rPr>
          </w:pPr>
          <w:r>
            <w:fldChar w:fldCharType="begin"/>
          </w:r>
          <w:r>
            <w:instrText xml:space="preserve"> HYPERLINK \l "_Toc13490" </w:instrText>
          </w:r>
          <w:r>
            <w:fldChar w:fldCharType="separate"/>
          </w:r>
          <w:r>
            <w:rPr>
              <w:rFonts w:hint="eastAsia"/>
              <w:b/>
              <w:sz w:val="28"/>
              <w:szCs w:val="28"/>
            </w:rPr>
            <w:t>5、绩效评价结论</w:t>
          </w:r>
          <w:r>
            <w:rPr>
              <w:b/>
              <w:sz w:val="28"/>
              <w:szCs w:val="28"/>
            </w:rPr>
            <w:tab/>
          </w:r>
          <w:r>
            <w:rPr>
              <w:rFonts w:hint="eastAsia"/>
              <w:b/>
              <w:sz w:val="28"/>
              <w:szCs w:val="28"/>
              <w:lang w:val="en-US" w:eastAsia="zh-CN"/>
            </w:rPr>
            <w:t>1</w:t>
          </w:r>
          <w:r>
            <w:rPr>
              <w:b/>
              <w:sz w:val="28"/>
              <w:szCs w:val="28"/>
            </w:rPr>
            <w:fldChar w:fldCharType="end"/>
          </w:r>
          <w:r>
            <w:rPr>
              <w:rFonts w:hint="eastAsia"/>
              <w:b/>
              <w:sz w:val="28"/>
              <w:szCs w:val="28"/>
              <w:lang w:val="en-US" w:eastAsia="zh-CN"/>
            </w:rPr>
            <w:t>0</w:t>
          </w:r>
        </w:p>
        <w:p>
          <w:pPr>
            <w:pStyle w:val="12"/>
            <w:tabs>
              <w:tab w:val="right" w:leader="dot" w:pos="8306"/>
            </w:tabs>
            <w:ind w:left="560"/>
            <w:rPr>
              <w:rFonts w:hint="eastAsia" w:eastAsiaTheme="minorEastAsia"/>
              <w:sz w:val="28"/>
              <w:szCs w:val="28"/>
              <w:lang w:val="en-US" w:eastAsia="zh-CN"/>
            </w:rPr>
          </w:pPr>
          <w:r>
            <w:fldChar w:fldCharType="begin"/>
          </w:r>
          <w:r>
            <w:instrText xml:space="preserve"> HYPERLINK \l "_Toc30669" </w:instrText>
          </w:r>
          <w:r>
            <w:fldChar w:fldCharType="separate"/>
          </w:r>
          <w:r>
            <w:rPr>
              <w:rFonts w:hint="eastAsia"/>
              <w:sz w:val="28"/>
              <w:szCs w:val="28"/>
            </w:rPr>
            <w:t>5.1、绩效评价得分</w:t>
          </w:r>
          <w:r>
            <w:rPr>
              <w:sz w:val="28"/>
              <w:szCs w:val="28"/>
            </w:rPr>
            <w:tab/>
          </w:r>
          <w:r>
            <w:rPr>
              <w:rFonts w:hint="eastAsia"/>
              <w:sz w:val="28"/>
              <w:szCs w:val="28"/>
              <w:lang w:val="en-US" w:eastAsia="zh-CN"/>
            </w:rPr>
            <w:t>1</w:t>
          </w:r>
          <w:r>
            <w:rPr>
              <w:sz w:val="28"/>
              <w:szCs w:val="28"/>
            </w:rPr>
            <w:fldChar w:fldCharType="end"/>
          </w:r>
          <w:r>
            <w:rPr>
              <w:rFonts w:hint="eastAsia"/>
              <w:sz w:val="28"/>
              <w:szCs w:val="28"/>
              <w:lang w:val="en-US" w:eastAsia="zh-CN"/>
            </w:rPr>
            <w:t>0</w:t>
          </w:r>
        </w:p>
        <w:p>
          <w:pPr>
            <w:pStyle w:val="12"/>
            <w:tabs>
              <w:tab w:val="right" w:leader="dot" w:pos="8306"/>
            </w:tabs>
            <w:ind w:left="560"/>
            <w:rPr>
              <w:sz w:val="28"/>
              <w:szCs w:val="28"/>
            </w:rPr>
          </w:pPr>
          <w:r>
            <w:fldChar w:fldCharType="begin"/>
          </w:r>
          <w:r>
            <w:instrText xml:space="preserve"> HYPERLINK \l "_Toc22163" </w:instrText>
          </w:r>
          <w:r>
            <w:fldChar w:fldCharType="separate"/>
          </w:r>
          <w:r>
            <w:rPr>
              <w:rFonts w:hint="eastAsia"/>
              <w:sz w:val="28"/>
              <w:szCs w:val="28"/>
            </w:rPr>
            <w:t>5.2、存在绩效问题</w:t>
          </w:r>
          <w:r>
            <w:rPr>
              <w:sz w:val="28"/>
              <w:szCs w:val="28"/>
            </w:rPr>
            <w:tab/>
          </w:r>
          <w:r>
            <w:rPr>
              <w:sz w:val="28"/>
              <w:szCs w:val="28"/>
            </w:rPr>
            <w:fldChar w:fldCharType="begin"/>
          </w:r>
          <w:r>
            <w:rPr>
              <w:sz w:val="28"/>
              <w:szCs w:val="28"/>
            </w:rPr>
            <w:instrText xml:space="preserve"> PAGEREF _Toc22163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11"/>
            <w:tabs>
              <w:tab w:val="right" w:leader="dot" w:pos="8306"/>
            </w:tabs>
            <w:rPr>
              <w:b/>
              <w:sz w:val="28"/>
              <w:szCs w:val="28"/>
            </w:rPr>
          </w:pPr>
          <w:r>
            <w:fldChar w:fldCharType="begin"/>
          </w:r>
          <w:r>
            <w:instrText xml:space="preserve"> HYPERLINK \l "_Toc10671" </w:instrText>
          </w:r>
          <w:r>
            <w:fldChar w:fldCharType="separate"/>
          </w:r>
          <w:r>
            <w:rPr>
              <w:rFonts w:hint="eastAsia"/>
              <w:b/>
              <w:sz w:val="28"/>
              <w:szCs w:val="28"/>
            </w:rPr>
            <w:t>6、经验教训与建议</w:t>
          </w:r>
          <w:r>
            <w:rPr>
              <w:b/>
              <w:sz w:val="28"/>
              <w:szCs w:val="28"/>
            </w:rPr>
            <w:tab/>
          </w:r>
          <w:r>
            <w:rPr>
              <w:b/>
              <w:sz w:val="28"/>
              <w:szCs w:val="28"/>
            </w:rPr>
            <w:fldChar w:fldCharType="begin"/>
          </w:r>
          <w:r>
            <w:rPr>
              <w:b/>
              <w:sz w:val="28"/>
              <w:szCs w:val="28"/>
            </w:rPr>
            <w:instrText xml:space="preserve"> PAGEREF _Toc10671 \h </w:instrText>
          </w:r>
          <w:r>
            <w:rPr>
              <w:b/>
              <w:sz w:val="28"/>
              <w:szCs w:val="28"/>
            </w:rPr>
            <w:fldChar w:fldCharType="separate"/>
          </w:r>
          <w:r>
            <w:rPr>
              <w:b/>
              <w:sz w:val="28"/>
              <w:szCs w:val="28"/>
            </w:rPr>
            <w:t>11</w:t>
          </w:r>
          <w:r>
            <w:rPr>
              <w:b/>
              <w:sz w:val="28"/>
              <w:szCs w:val="28"/>
            </w:rPr>
            <w:fldChar w:fldCharType="end"/>
          </w:r>
          <w:r>
            <w:rPr>
              <w:b/>
              <w:sz w:val="28"/>
              <w:szCs w:val="28"/>
            </w:rPr>
            <w:fldChar w:fldCharType="end"/>
          </w:r>
        </w:p>
        <w:p>
          <w:pPr>
            <w:pStyle w:val="12"/>
            <w:tabs>
              <w:tab w:val="right" w:leader="dot" w:pos="8306"/>
            </w:tabs>
            <w:ind w:left="560"/>
            <w:rPr>
              <w:sz w:val="28"/>
              <w:szCs w:val="28"/>
            </w:rPr>
          </w:pPr>
          <w:r>
            <w:fldChar w:fldCharType="begin"/>
          </w:r>
          <w:r>
            <w:instrText xml:space="preserve"> HYPERLINK \l "_Toc27393" </w:instrText>
          </w:r>
          <w:r>
            <w:fldChar w:fldCharType="separate"/>
          </w:r>
          <w:r>
            <w:rPr>
              <w:rFonts w:hint="eastAsia"/>
              <w:sz w:val="28"/>
              <w:szCs w:val="28"/>
            </w:rPr>
            <w:t>6.1、经验教训</w:t>
          </w:r>
          <w:r>
            <w:rPr>
              <w:sz w:val="28"/>
              <w:szCs w:val="28"/>
            </w:rPr>
            <w:tab/>
          </w:r>
          <w:r>
            <w:rPr>
              <w:sz w:val="28"/>
              <w:szCs w:val="28"/>
            </w:rPr>
            <w:fldChar w:fldCharType="begin"/>
          </w:r>
          <w:r>
            <w:rPr>
              <w:sz w:val="28"/>
              <w:szCs w:val="28"/>
            </w:rPr>
            <w:instrText xml:space="preserve"> PAGEREF _Toc27393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12"/>
            <w:tabs>
              <w:tab w:val="right" w:leader="dot" w:pos="8306"/>
            </w:tabs>
            <w:ind w:left="560"/>
            <w:rPr>
              <w:sz w:val="28"/>
              <w:szCs w:val="28"/>
            </w:rPr>
          </w:pPr>
          <w:r>
            <w:fldChar w:fldCharType="begin"/>
          </w:r>
          <w:r>
            <w:instrText xml:space="preserve"> HYPERLINK \l "_Toc7237" </w:instrText>
          </w:r>
          <w:r>
            <w:fldChar w:fldCharType="separate"/>
          </w:r>
          <w:r>
            <w:rPr>
              <w:rFonts w:hint="eastAsia"/>
              <w:sz w:val="28"/>
              <w:szCs w:val="28"/>
            </w:rPr>
            <w:t>6.2、建议</w:t>
          </w:r>
          <w:r>
            <w:rPr>
              <w:sz w:val="28"/>
              <w:szCs w:val="28"/>
            </w:rPr>
            <w:tab/>
          </w:r>
          <w:r>
            <w:rPr>
              <w:sz w:val="28"/>
              <w:szCs w:val="28"/>
            </w:rPr>
            <w:fldChar w:fldCharType="begin"/>
          </w:r>
          <w:r>
            <w:rPr>
              <w:sz w:val="28"/>
              <w:szCs w:val="28"/>
            </w:rPr>
            <w:instrText xml:space="preserve"> PAGEREF _Toc7237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11"/>
            <w:tabs>
              <w:tab w:val="right" w:leader="dot" w:pos="8306"/>
            </w:tabs>
            <w:rPr>
              <w:rFonts w:hint="default" w:eastAsiaTheme="minorEastAsia"/>
              <w:b/>
              <w:lang w:val="en-US" w:eastAsia="zh-CN"/>
            </w:rPr>
          </w:pPr>
          <w:r>
            <w:fldChar w:fldCharType="begin"/>
          </w:r>
          <w:r>
            <w:instrText xml:space="preserve"> HYPERLINK \l "_Toc10735" </w:instrText>
          </w:r>
          <w:r>
            <w:fldChar w:fldCharType="separate"/>
          </w:r>
          <w:r>
            <w:rPr>
              <w:rFonts w:hint="eastAsia"/>
              <w:b/>
              <w:sz w:val="28"/>
              <w:szCs w:val="28"/>
            </w:rPr>
            <w:t>附：部门整体绩效评价指标评分表</w:t>
          </w:r>
          <w:r>
            <w:rPr>
              <w:b/>
              <w:sz w:val="28"/>
              <w:szCs w:val="28"/>
            </w:rPr>
            <w:tab/>
          </w:r>
          <w:r>
            <w:rPr>
              <w:b/>
              <w:sz w:val="28"/>
              <w:szCs w:val="28"/>
            </w:rPr>
            <w:fldChar w:fldCharType="end"/>
          </w:r>
          <w:r>
            <w:rPr>
              <w:rFonts w:hint="eastAsia"/>
              <w:b/>
              <w:sz w:val="28"/>
              <w:szCs w:val="28"/>
              <w:lang w:val="en-US" w:eastAsia="zh-CN"/>
            </w:rPr>
            <w:t>12</w:t>
          </w:r>
        </w:p>
        <w:p>
          <w:pPr>
            <w:ind w:firstLine="562"/>
          </w:pPr>
          <w:r>
            <w:rPr>
              <w:b/>
            </w:rPr>
            <w:fldChar w:fldCharType="end"/>
          </w:r>
        </w:p>
      </w:sdtContent>
    </w:sdt>
    <w:p>
      <w:pPr>
        <w:pStyle w:val="2"/>
        <w:ind w:firstLine="643"/>
        <w:outlineLvl w:val="9"/>
        <w:rPr>
          <w:rFonts w:hint="eastAsia"/>
        </w:rPr>
        <w:sectPr>
          <w:footerReference r:id="rId6" w:type="default"/>
          <w:pgSz w:w="11906" w:h="16838"/>
          <w:pgMar w:top="1440" w:right="1800" w:bottom="1440" w:left="1800" w:header="851" w:footer="992" w:gutter="0"/>
          <w:cols w:space="425" w:num="1"/>
          <w:docGrid w:type="lines" w:linePitch="312" w:charSpace="0"/>
        </w:sectPr>
      </w:pPr>
    </w:p>
    <w:p>
      <w:pPr>
        <w:pStyle w:val="2"/>
        <w:ind w:firstLine="643"/>
      </w:pPr>
      <w:r>
        <w:rPr>
          <w:rFonts w:hint="eastAsia"/>
        </w:rPr>
        <w:t>1、引言</w:t>
      </w:r>
    </w:p>
    <w:p>
      <w:pPr>
        <w:pStyle w:val="3"/>
        <w:numPr>
          <w:ilvl w:val="1"/>
          <w:numId w:val="1"/>
        </w:numPr>
        <w:ind w:firstLine="643"/>
        <w:rPr>
          <w:rFonts w:hint="eastAsia"/>
        </w:rPr>
      </w:pPr>
      <w:bookmarkStart w:id="0" w:name="_Toc9071"/>
      <w:bookmarkStart w:id="1" w:name="_Toc32450"/>
      <w:r>
        <w:rPr>
          <w:rFonts w:hint="eastAsia"/>
        </w:rPr>
        <w:t>部门职责概述</w:t>
      </w:r>
      <w:bookmarkEnd w:id="0"/>
      <w:bookmarkEnd w:id="1"/>
    </w:p>
    <w:p>
      <w:pPr>
        <w:numPr>
          <w:ilvl w:val="0"/>
          <w:numId w:val="0"/>
        </w:numPr>
        <w:ind w:leftChars="0" w:firstLine="560" w:firstLineChars="200"/>
        <w:rPr>
          <w:rFonts w:hint="eastAsia"/>
        </w:rPr>
      </w:pPr>
      <w:r>
        <w:rPr>
          <w:rFonts w:hint="eastAsia"/>
        </w:rPr>
        <w:t>1.贯彻执行国家和省、市有关市政公用、园林绿化方面的法律法规、规章、政策和标准；2.参与编制城市市政公用、园林绿化行业规划和计划，并督促实施；牵头起草地方市政公用设施养护和园林绿化管理方面的技术规范、技术标准、养护标准和考核办法，并督促实施；</w:t>
      </w:r>
    </w:p>
    <w:p>
      <w:pPr>
        <w:numPr>
          <w:ilvl w:val="0"/>
          <w:numId w:val="0"/>
        </w:numPr>
        <w:ind w:leftChars="0"/>
        <w:rPr>
          <w:rFonts w:hint="eastAsia" w:eastAsia="宋体"/>
          <w:lang w:eastAsia="zh-CN"/>
        </w:rPr>
      </w:pPr>
      <w:r>
        <w:rPr>
          <w:rFonts w:hint="eastAsia"/>
        </w:rPr>
        <w:t>3.负责城市道路、桥梁、供水、排水、燃气、供热、照明等设施养护管理工作；负责全市园林绿化养护管理工作；负责城市市政公用、园林绿化行业行政审批事项的审核和批后监管工作；负责市政公用防汛、排涝、抗台等工作；承担督促市政公用行业工程项目建设主体履行基本建设程序的管理工作；4.承担公用企业的经营资质审验及管理工作；负责公用企业特许经营、营商环境和服务质量的管理工作；负责园林绿化工程指导服务与质量管理工作。5.负责市政公用、园林绿化行业生产运行管理和技术指导等工作；承担市政公用、园林绿化从业人员培训、职业技能竞赛工作；负责市政公用设施地下管线工程档案管理工作；6.负责城市计划用水和节约用水管理工作；7.负责市政公用、园林绿化行业管理系统的建设与运行；负责受理并处理市政公用、园林绿化方面的投诉举报、咨询求助、险情信息等；负责市政公用、园林绿化行业安全生产工作、突发事件应急处置以及依法组织或参与有关事故的调查处理；8.负责城市各类创建涉及市政公用、园林绿化行业的实施、指导和长效管理工作；9.负责全市市政公用、园林绿化行业信息统计和编报工作；10.承担市人大代表、政协委员关于市政公用、园林绿化行业的建议、提案的办理答复工作；11.承办主管部门交办的其他事项</w:t>
      </w:r>
      <w:r>
        <w:rPr>
          <w:rFonts w:hint="eastAsia"/>
          <w:lang w:eastAsia="zh-CN"/>
        </w:rPr>
        <w:t>。</w:t>
      </w:r>
    </w:p>
    <w:p>
      <w:pPr>
        <w:pStyle w:val="3"/>
        <w:ind w:firstLine="643"/>
        <w:rPr>
          <w:rFonts w:hint="eastAsia"/>
        </w:rPr>
      </w:pPr>
      <w:bookmarkStart w:id="2" w:name="_Toc30388"/>
      <w:bookmarkStart w:id="3" w:name="_Toc24929"/>
      <w:r>
        <w:rPr>
          <w:rFonts w:hint="eastAsia"/>
        </w:rPr>
        <w:t>1.2、部门收支描述</w:t>
      </w:r>
      <w:bookmarkEnd w:id="2"/>
      <w:bookmarkEnd w:id="3"/>
    </w:p>
    <w:p>
      <w:pPr>
        <w:rPr>
          <w:rFonts w:hint="eastAsia"/>
        </w:rPr>
      </w:pPr>
      <w:r>
        <w:rPr>
          <w:rFonts w:hint="eastAsia"/>
        </w:rPr>
        <w:t>一、收入支出决算总体情况说明</w:t>
      </w:r>
    </w:p>
    <w:p>
      <w:pPr>
        <w:rPr>
          <w:rFonts w:hint="eastAsia"/>
          <w:color w:val="auto"/>
        </w:rPr>
      </w:pPr>
      <w:r>
        <w:rPr>
          <w:rFonts w:hint="eastAsia"/>
          <w:color w:val="auto"/>
        </w:rPr>
        <w:t>2021年度收入7,539.03万元、支出7,539.03万元。其中：</w:t>
      </w:r>
    </w:p>
    <w:p>
      <w:pPr>
        <w:numPr>
          <w:ilvl w:val="0"/>
          <w:numId w:val="2"/>
        </w:numPr>
        <w:rPr>
          <w:rFonts w:hint="eastAsia"/>
          <w:color w:val="auto"/>
        </w:rPr>
      </w:pPr>
      <w:r>
        <w:rPr>
          <w:rFonts w:hint="eastAsia"/>
          <w:color w:val="auto"/>
        </w:rPr>
        <w:t>收入决算总计7,539.03万元。</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color w:val="auto"/>
        </w:rPr>
      </w:pPr>
      <w:r>
        <w:rPr>
          <w:rFonts w:hint="eastAsia"/>
          <w:color w:val="auto"/>
        </w:rPr>
        <w:t>1.本年收入决算合计 7,296.34 万元</w:t>
      </w:r>
      <w:r>
        <w:rPr>
          <w:rFonts w:hint="eastAsia"/>
          <w:color w:val="auto"/>
          <w:lang w:eastAsia="zh-CN"/>
        </w:rPr>
        <w:t>。</w:t>
      </w:r>
      <w:r>
        <w:rPr>
          <w:rFonts w:hint="eastAsia"/>
          <w:color w:val="auto"/>
        </w:rPr>
        <w:t>与上年相比</w:t>
      </w:r>
      <w:r>
        <w:rPr>
          <w:rFonts w:hint="eastAsia"/>
          <w:color w:val="auto"/>
          <w:lang w:eastAsia="zh-CN"/>
        </w:rPr>
        <w:t>，</w:t>
      </w:r>
      <w:r>
        <w:rPr>
          <w:rFonts w:hint="eastAsia"/>
          <w:color w:val="auto"/>
        </w:rPr>
        <w:t>增加7,296.34万元（上年决算数为0万元</w:t>
      </w:r>
      <w:r>
        <w:rPr>
          <w:rFonts w:hint="eastAsia"/>
          <w:color w:val="auto"/>
          <w:lang w:eastAsia="zh-CN"/>
        </w:rPr>
        <w:t>，</w:t>
      </w:r>
      <w:r>
        <w:rPr>
          <w:rFonts w:hint="eastAsia"/>
          <w:color w:val="auto"/>
        </w:rPr>
        <w:t>无法计算增减比率），变动原因：单位新成立，无上年决算数。</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color w:val="auto"/>
        </w:rPr>
      </w:pPr>
      <w:r>
        <w:rPr>
          <w:rFonts w:hint="eastAsia"/>
          <w:color w:val="auto"/>
        </w:rPr>
        <w:t>2.使用非财政拨款结余 0 万元。与上年决算数相同。</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color w:val="FF0000"/>
        </w:rPr>
      </w:pPr>
      <w:r>
        <w:rPr>
          <w:rFonts w:hint="eastAsia"/>
          <w:color w:val="auto"/>
        </w:rPr>
        <w:t>3.年初结转和结余 242.68万元。与上年相比</w:t>
      </w:r>
      <w:r>
        <w:rPr>
          <w:rFonts w:hint="eastAsia"/>
          <w:color w:val="auto"/>
          <w:lang w:eastAsia="zh-CN"/>
        </w:rPr>
        <w:t>，</w:t>
      </w:r>
      <w:r>
        <w:rPr>
          <w:rFonts w:hint="eastAsia"/>
          <w:color w:val="auto"/>
        </w:rPr>
        <w:t>增加242.68万元（上年决算数为 0 万元，无法计算增减比率），变动原因：单位新成立</w:t>
      </w:r>
      <w:r>
        <w:rPr>
          <w:rFonts w:hint="eastAsia"/>
          <w:color w:val="auto"/>
          <w:lang w:eastAsia="zh-CN"/>
        </w:rPr>
        <w:t>，</w:t>
      </w:r>
      <w:r>
        <w:rPr>
          <w:rFonts w:hint="eastAsia"/>
          <w:color w:val="auto"/>
        </w:rPr>
        <w:t>无上年决算数。</w:t>
      </w:r>
    </w:p>
    <w:p>
      <w:pPr>
        <w:rPr>
          <w:rFonts w:hint="eastAsia"/>
        </w:rPr>
      </w:pPr>
      <w:r>
        <w:rPr>
          <w:rFonts w:hint="eastAsia"/>
        </w:rPr>
        <w:t>（二）支出决算总计 7,539.03 万元。包括：</w:t>
      </w:r>
    </w:p>
    <w:p>
      <w:pPr>
        <w:rPr>
          <w:rFonts w:hint="eastAsia"/>
        </w:rPr>
      </w:pPr>
      <w:r>
        <w:rPr>
          <w:rFonts w:hint="eastAsia"/>
        </w:rPr>
        <w:t>1.本年支出决算合计 7,539.03 万元。与上年相比，增加7,539.03 万元（上年决算数为 0万元，无法计算增减比率），变动原因：单位新成立，无上年决算数。</w:t>
      </w:r>
    </w:p>
    <w:p>
      <w:pPr>
        <w:rPr>
          <w:rFonts w:hint="eastAsia"/>
        </w:rPr>
      </w:pPr>
      <w:r>
        <w:rPr>
          <w:rFonts w:hint="eastAsia"/>
        </w:rPr>
        <w:t>2.结余分配0万元。与上年决算数相同。</w:t>
      </w:r>
    </w:p>
    <w:p>
      <w:pPr>
        <w:rPr>
          <w:rFonts w:hint="eastAsia"/>
        </w:rPr>
      </w:pPr>
      <w:r>
        <w:rPr>
          <w:rFonts w:hint="eastAsia"/>
        </w:rPr>
        <w:t>3.年末结转和结余0万元。与上年决算数相同。</w:t>
      </w:r>
    </w:p>
    <w:p>
      <w:pPr>
        <w:pStyle w:val="3"/>
        <w:tabs>
          <w:tab w:val="center" w:pos="4153"/>
        </w:tabs>
        <w:ind w:firstLine="643"/>
        <w:rPr>
          <w:rFonts w:hint="eastAsia"/>
          <w:lang w:eastAsia="zh-CN"/>
        </w:rPr>
      </w:pPr>
      <w:bookmarkStart w:id="4" w:name="_Toc6798"/>
      <w:bookmarkStart w:id="5" w:name="_Toc21019"/>
      <w:r>
        <w:rPr>
          <w:rFonts w:hint="eastAsia"/>
        </w:rPr>
        <w:t>1.3、部门项目实施情况</w:t>
      </w:r>
      <w:bookmarkEnd w:id="4"/>
      <w:bookmarkEnd w:id="5"/>
      <w:r>
        <w:rPr>
          <w:rFonts w:hint="eastAsia"/>
          <w:lang w:eastAsia="zh-CN"/>
        </w:rPr>
        <w:tab/>
      </w:r>
    </w:p>
    <w:p>
      <w:pPr>
        <w:rPr>
          <w:rFonts w:hint="default"/>
          <w:lang w:val="en-US" w:eastAsia="zh-CN"/>
        </w:rPr>
      </w:pPr>
      <w:r>
        <w:rPr>
          <w:rFonts w:hint="eastAsia"/>
        </w:rPr>
        <w:t xml:space="preserve"> 管网维护运行费用</w:t>
      </w:r>
      <w:r>
        <w:rPr>
          <w:rFonts w:hint="eastAsia"/>
          <w:lang w:val="en-US" w:eastAsia="zh-CN"/>
        </w:rPr>
        <w:t>支出4834115.25元；排水管理工作经费支出35650元；水质监测及宣传费用支出1066856元；</w:t>
      </w:r>
      <w:r>
        <w:rPr>
          <w:rFonts w:hint="default" w:eastAsia="宋体"/>
          <w:lang w:val="en-US" w:eastAsia="zh-CN"/>
        </w:rPr>
        <w:t>建设局拨付的管网运行费用</w:t>
      </w:r>
      <w:r>
        <w:rPr>
          <w:rFonts w:hint="eastAsia"/>
          <w:lang w:val="en-US" w:eastAsia="zh-CN"/>
        </w:rPr>
        <w:t>支出490000元；</w:t>
      </w:r>
      <w:r>
        <w:rPr>
          <w:rFonts w:hint="default" w:eastAsia="宋体"/>
          <w:lang w:val="en-US" w:eastAsia="zh-CN"/>
        </w:rPr>
        <w:t>市区提升泵站改造费用</w:t>
      </w:r>
      <w:r>
        <w:rPr>
          <w:rFonts w:hint="eastAsia"/>
          <w:lang w:val="en-US" w:eastAsia="zh-CN"/>
        </w:rPr>
        <w:t>支出6608706.05元；大浦污水处理厂事故排口应急政治工程支出281970元；玉带河片区雨污分流改造费用支出85463.7元；缺陷管网修复工程费用支出1267108.1元；老旧配电设施改造支出34735.68元；游园广场亮化支出25393.99元；背街小巷照明支出60737.95元； 东盐河五座桥亮化提升工程支出40788.24元；办公设备购置费用支出1380元；节水宣传费支出519776.19元；水平衡测试费用支出194600元；信息系统二级建设支出14800元；节水办运行经费支出</w:t>
      </w:r>
      <w:r>
        <w:rPr>
          <w:rFonts w:hint="default" w:eastAsia="宋体"/>
          <w:lang w:val="en-US" w:eastAsia="zh-CN"/>
        </w:rPr>
        <w:t>513706.46</w:t>
      </w:r>
      <w:r>
        <w:rPr>
          <w:rFonts w:hint="eastAsia"/>
          <w:lang w:val="en-US" w:eastAsia="zh-CN"/>
        </w:rPr>
        <w:t>元；购买服务人员经费支出</w:t>
      </w:r>
      <w:r>
        <w:rPr>
          <w:rFonts w:hint="default" w:eastAsia="宋体"/>
          <w:lang w:val="en-US" w:eastAsia="zh-CN"/>
        </w:rPr>
        <w:t>48093.56</w:t>
      </w:r>
      <w:r>
        <w:rPr>
          <w:rFonts w:hint="eastAsia"/>
          <w:lang w:val="en-US" w:eastAsia="zh-CN"/>
        </w:rPr>
        <w:t>元；政府采购办公设备购置支出127933元；人才补贴支出12000元；市区市政绿化基础设施普查经费支出930407.77元；照明设施维护费支出11046039元； 路灯以外用电单位智能电表安装工程支出372286.13元；重大节日氛围营造工程支出1723443.19元；监控中心维护费195596；</w:t>
      </w:r>
      <w:r>
        <w:rPr>
          <w:rFonts w:hint="default"/>
          <w:lang w:val="en-US" w:eastAsia="zh-CN"/>
        </w:rPr>
        <w:t>行政运行经费</w:t>
      </w:r>
      <w:r>
        <w:rPr>
          <w:rFonts w:hint="eastAsia"/>
          <w:lang w:val="en-US" w:eastAsia="zh-CN"/>
        </w:rPr>
        <w:t>支出2200000元；市政绿化养护管理经费支出401025.55元；路灯电费支出22981865.66元；供水水质检测支出161500元； 市政基础设施普查和综合管理信息平台建设技术支撑81000元。</w:t>
      </w:r>
    </w:p>
    <w:p>
      <w:pPr>
        <w:rPr>
          <w:rFonts w:hint="eastAsia" w:eastAsia="宋体"/>
          <w:lang w:val="en-US" w:eastAsia="zh-CN"/>
        </w:rPr>
      </w:pPr>
      <w:r>
        <w:rPr>
          <w:rFonts w:hint="eastAsia"/>
        </w:rPr>
        <w:t>本年支出决算合计7,539.03万元，其中：基本支出1,903.3万元，占 25.25%；项目支出 5,635.7 万元</w:t>
      </w:r>
      <w:r>
        <w:rPr>
          <w:rFonts w:hint="eastAsia"/>
          <w:lang w:eastAsia="zh-CN"/>
        </w:rPr>
        <w:t>，</w:t>
      </w:r>
      <w:r>
        <w:rPr>
          <w:rFonts w:hint="eastAsia"/>
        </w:rPr>
        <w:t>占74.75%</w:t>
      </w:r>
      <w:r>
        <w:rPr>
          <w:rFonts w:hint="eastAsia"/>
          <w:lang w:eastAsia="zh-CN"/>
        </w:rPr>
        <w:t>。</w:t>
      </w:r>
    </w:p>
    <w:p>
      <w:pPr>
        <w:ind w:left="0" w:leftChars="0" w:firstLine="0" w:firstLineChars="0"/>
        <w:outlineLvl w:val="0"/>
        <w:rPr>
          <w:rFonts w:hint="eastAsia" w:eastAsia="宋体" w:asciiTheme="minorHAnsi" w:hAnsiTheme="minorHAnsi" w:cstheme="minorBidi"/>
          <w:b/>
          <w:kern w:val="44"/>
          <w:sz w:val="32"/>
          <w:szCs w:val="24"/>
          <w:lang w:val="en-US" w:eastAsia="zh-CN" w:bidi="ar-SA"/>
        </w:rPr>
      </w:pPr>
      <w:r>
        <w:rPr>
          <w:rFonts w:hint="eastAsia" w:eastAsia="宋体" w:asciiTheme="minorHAnsi" w:hAnsiTheme="minorHAnsi" w:cstheme="minorBidi"/>
          <w:b/>
          <w:kern w:val="44"/>
          <w:sz w:val="32"/>
          <w:szCs w:val="24"/>
          <w:lang w:val="en-US" w:eastAsia="zh-CN" w:bidi="ar-SA"/>
        </w:rPr>
        <w:t>2、绩效评价概述</w:t>
      </w:r>
    </w:p>
    <w:p>
      <w:pPr>
        <w:pStyle w:val="3"/>
        <w:ind w:firstLine="643"/>
        <w:rPr>
          <w:rFonts w:hint="eastAsia" w:ascii="Arial" w:hAnsi="Arial" w:eastAsia="宋体" w:cstheme="minorBidi"/>
          <w:b/>
          <w:kern w:val="2"/>
          <w:sz w:val="32"/>
          <w:szCs w:val="24"/>
          <w:lang w:val="en-US" w:eastAsia="zh-CN" w:bidi="ar-SA"/>
        </w:rPr>
      </w:pPr>
      <w:bookmarkStart w:id="6" w:name="_Toc21273"/>
      <w:bookmarkStart w:id="7" w:name="_Toc4271"/>
      <w:r>
        <w:rPr>
          <w:rFonts w:hint="eastAsia" w:ascii="Arial" w:hAnsi="Arial" w:eastAsia="宋体" w:cstheme="minorBidi"/>
          <w:b/>
          <w:kern w:val="2"/>
          <w:sz w:val="32"/>
          <w:szCs w:val="24"/>
          <w:lang w:val="en-US" w:eastAsia="zh-CN" w:bidi="ar-SA"/>
        </w:rPr>
        <w:t>2.1、绩效评价目的</w:t>
      </w:r>
    </w:p>
    <w:p>
      <w:pPr>
        <w:rPr>
          <w:rFonts w:hint="default"/>
          <w:lang w:val="en-US" w:eastAsia="zh-CN"/>
        </w:rPr>
      </w:pPr>
      <w:r>
        <w:rPr>
          <w:rFonts w:hint="eastAsia"/>
          <w:lang w:val="en-US" w:eastAsia="zh-CN"/>
        </w:rPr>
        <w:t>通过对本单位整体资金使用情况进行绩效评价，检验整体资金是否达到预期绩效目标，评价整体资金使用是否有效，为以后年度预算安排和项目筛选提供重要依据，并及时总结经验，分析存在问题，提出改进措施，不断提高资金管理水平。为财政资金在提高项目完成度和满意度中给予科学的评价。从整体上提升预算绩效管理工作水平,强化部门支出责任，规范资金管理行为，提高财政资金使用效益，保障部门更好地履行职责，使财政资金通过部门行使其职能来服务社会和人民群众，使工作变得更有效益和效率。</w:t>
      </w:r>
    </w:p>
    <w:p>
      <w:pPr>
        <w:pStyle w:val="3"/>
        <w:ind w:firstLine="643"/>
        <w:rPr>
          <w:rFonts w:hint="eastAsia"/>
        </w:rPr>
      </w:pPr>
      <w:r>
        <w:rPr>
          <w:rFonts w:hint="eastAsia"/>
        </w:rPr>
        <w:t>2.2、绩效评价实施过程</w:t>
      </w:r>
      <w:bookmarkEnd w:id="6"/>
      <w:bookmarkEnd w:id="7"/>
    </w:p>
    <w:p>
      <w:pPr>
        <w:rPr>
          <w:rFonts w:hint="eastAsia"/>
        </w:rPr>
      </w:pPr>
      <w:r>
        <w:rPr>
          <w:rFonts w:hint="eastAsia"/>
        </w:rPr>
        <w:t>1.前期准备</w:t>
      </w:r>
    </w:p>
    <w:p>
      <w:pPr>
        <w:rPr>
          <w:rFonts w:hint="eastAsia" w:eastAsia="宋体"/>
          <w:lang w:eastAsia="zh-CN"/>
        </w:rPr>
      </w:pPr>
      <w:r>
        <w:rPr>
          <w:rFonts w:hint="eastAsia"/>
        </w:rPr>
        <w:t>依托</w:t>
      </w:r>
      <w:r>
        <w:rPr>
          <w:rFonts w:hint="eastAsia"/>
          <w:lang w:val="en-US" w:eastAsia="zh-CN"/>
        </w:rPr>
        <w:t>本单位</w:t>
      </w:r>
      <w:r>
        <w:rPr>
          <w:rFonts w:hint="eastAsia"/>
        </w:rPr>
        <w:t>成立整体绩效自评价小组。主要完成整体绩效评价前的协调、沟通工作，并开展整体绩效评价调研，设计评价指标体系、基础数据报表和调查问卷。全面了解相关责任部门各个项目的基本情况，适时到项目实施单位现场调研，与相关负责人员进行交流与探讨，研讨完善评价指标体系、基础数据报表体系和调查问卷</w:t>
      </w:r>
      <w:r>
        <w:rPr>
          <w:rFonts w:hint="eastAsia"/>
          <w:lang w:eastAsia="zh-CN"/>
        </w:rPr>
        <w:t>。</w:t>
      </w:r>
    </w:p>
    <w:p>
      <w:pPr>
        <w:rPr>
          <w:rFonts w:hint="eastAsia"/>
        </w:rPr>
      </w:pPr>
      <w:r>
        <w:rPr>
          <w:rFonts w:hint="eastAsia"/>
        </w:rPr>
        <w:t>2.组织实施</w:t>
      </w:r>
    </w:p>
    <w:p>
      <w:pPr>
        <w:rPr>
          <w:rFonts w:hint="eastAsia"/>
        </w:rPr>
      </w:pPr>
      <w:r>
        <w:rPr>
          <w:rFonts w:hint="eastAsia"/>
        </w:rPr>
        <w:t>自评价小组到整体绩效评价单位实地采集数据，完善评价基础资料。针对采集完成的数据，分析数据结构与特征，确定对应的抽样方法，抽取复核样本。根据复核结果调整原基础数据，确保数据的完整、真实和准确，并进行数据统计与汇总。</w:t>
      </w:r>
    </w:p>
    <w:p>
      <w:pPr>
        <w:numPr>
          <w:ilvl w:val="0"/>
          <w:numId w:val="3"/>
        </w:numPr>
        <w:rPr>
          <w:rFonts w:hint="eastAsia"/>
        </w:rPr>
      </w:pPr>
      <w:r>
        <w:rPr>
          <w:rFonts w:hint="eastAsia"/>
        </w:rPr>
        <w:t>分析评价</w:t>
      </w:r>
    </w:p>
    <w:p>
      <w:pPr>
        <w:numPr>
          <w:ilvl w:val="0"/>
          <w:numId w:val="0"/>
        </w:numPr>
        <w:ind w:firstLine="560" w:firstLineChars="200"/>
        <w:rPr>
          <w:rFonts w:hint="eastAsia"/>
        </w:rPr>
      </w:pPr>
      <w:r>
        <w:rPr>
          <w:rFonts w:hint="eastAsia"/>
        </w:rPr>
        <w:t>汇总分析数据，结合整体绩效评价单位相关责任部门数据分布情况，依据各个项目立项、执行、管理、资金运用及使用情况，以及指标完成情况，撰写绩效评价报告，针对存在问题提出改进建议。</w:t>
      </w:r>
    </w:p>
    <w:p>
      <w:pPr>
        <w:pStyle w:val="3"/>
        <w:ind w:firstLine="643"/>
        <w:rPr>
          <w:rFonts w:hint="eastAsia"/>
        </w:rPr>
      </w:pPr>
      <w:bookmarkStart w:id="8" w:name="_Toc22394"/>
      <w:bookmarkStart w:id="9" w:name="_Toc6217"/>
      <w:r>
        <w:rPr>
          <w:rFonts w:hint="eastAsia"/>
        </w:rPr>
        <w:t>2.3、绩效评价的局限性</w:t>
      </w:r>
      <w:bookmarkEnd w:id="8"/>
      <w:bookmarkEnd w:id="9"/>
    </w:p>
    <w:p>
      <w:r>
        <w:rPr>
          <w:rFonts w:hint="eastAsia"/>
        </w:rPr>
        <w:t>由于</w:t>
      </w:r>
      <w:r>
        <w:rPr>
          <w:rFonts w:hint="eastAsia"/>
          <w:lang w:val="en-US" w:eastAsia="zh-CN"/>
        </w:rPr>
        <w:t>本单位</w:t>
      </w:r>
      <w:r>
        <w:rPr>
          <w:rFonts w:hint="eastAsia"/>
        </w:rPr>
        <w:t>整体支出绩效评价属于综合性的评价，其涉及管理学、经济学、等</w:t>
      </w:r>
      <w:r>
        <w:rPr>
          <w:rFonts w:hint="eastAsia"/>
          <w:lang w:val="en-US" w:eastAsia="zh-CN"/>
        </w:rPr>
        <w:t>各</w:t>
      </w:r>
      <w:r>
        <w:rPr>
          <w:rFonts w:hint="eastAsia"/>
        </w:rPr>
        <w:t>项领域，</w:t>
      </w:r>
      <w:r>
        <w:rPr>
          <w:rFonts w:hint="eastAsia"/>
          <w:lang w:val="en-US" w:eastAsia="zh-CN"/>
        </w:rPr>
        <w:t>因此</w:t>
      </w:r>
      <w:r>
        <w:rPr>
          <w:rFonts w:hint="eastAsia"/>
        </w:rPr>
        <w:t>仅仅依靠财务</w:t>
      </w:r>
      <w:r>
        <w:rPr>
          <w:rFonts w:hint="eastAsia"/>
          <w:lang w:val="en-US" w:eastAsia="zh-CN"/>
        </w:rPr>
        <w:t>和管理</w:t>
      </w:r>
      <w:r>
        <w:rPr>
          <w:rFonts w:hint="eastAsia"/>
        </w:rPr>
        <w:t>人员，</w:t>
      </w:r>
      <w:r>
        <w:rPr>
          <w:rFonts w:hint="eastAsia"/>
          <w:lang w:val="en-US" w:eastAsia="zh-CN"/>
        </w:rPr>
        <w:t>在</w:t>
      </w:r>
      <w:r>
        <w:rPr>
          <w:rFonts w:hint="eastAsia"/>
        </w:rPr>
        <w:t>没有</w:t>
      </w:r>
      <w:r>
        <w:rPr>
          <w:rFonts w:hint="eastAsia"/>
          <w:lang w:val="en-US" w:eastAsia="zh-CN"/>
        </w:rPr>
        <w:t>相关</w:t>
      </w:r>
      <w:r>
        <w:rPr>
          <w:rFonts w:hint="eastAsia"/>
        </w:rPr>
        <w:t>专家</w:t>
      </w:r>
      <w:r>
        <w:rPr>
          <w:rFonts w:hint="eastAsia"/>
          <w:lang w:val="en-US" w:eastAsia="zh-CN"/>
        </w:rPr>
        <w:t>指导</w:t>
      </w:r>
      <w:r>
        <w:rPr>
          <w:rFonts w:hint="eastAsia"/>
        </w:rPr>
        <w:t>的情况下，对部门整体支出进行独立评价</w:t>
      </w:r>
      <w:r>
        <w:rPr>
          <w:rFonts w:hint="eastAsia"/>
          <w:lang w:eastAsia="zh-CN"/>
        </w:rPr>
        <w:t>，</w:t>
      </w:r>
      <w:r>
        <w:rPr>
          <w:rFonts w:hint="eastAsia"/>
        </w:rPr>
        <w:t>可能结果并不完整。</w:t>
      </w:r>
    </w:p>
    <w:p>
      <w:pPr>
        <w:pStyle w:val="2"/>
        <w:ind w:firstLine="643"/>
        <w:rPr>
          <w:bCs/>
          <w:szCs w:val="32"/>
        </w:rPr>
      </w:pPr>
      <w:bookmarkStart w:id="10" w:name="_Toc32302"/>
      <w:bookmarkStart w:id="11" w:name="_Toc32442"/>
      <w:r>
        <w:rPr>
          <w:rFonts w:hint="eastAsia"/>
        </w:rPr>
        <w:t>3、部门整体绩效评价分析</w:t>
      </w:r>
      <w:bookmarkEnd w:id="10"/>
      <w:bookmarkEnd w:id="11"/>
    </w:p>
    <w:p>
      <w:pPr>
        <w:pStyle w:val="3"/>
        <w:ind w:firstLine="643"/>
        <w:rPr>
          <w:szCs w:val="32"/>
        </w:rPr>
      </w:pPr>
      <w:bookmarkStart w:id="12" w:name="_Toc13701"/>
      <w:bookmarkStart w:id="13" w:name="_Toc9044"/>
      <w:r>
        <w:rPr>
          <w:rFonts w:hint="eastAsia"/>
        </w:rPr>
        <w:t>3.1、内部管理</w:t>
      </w:r>
      <w:bookmarkEnd w:id="12"/>
      <w:r>
        <w:rPr>
          <w:rFonts w:hint="eastAsia"/>
        </w:rPr>
        <w:t>（各指标得分情况和绩效分析）</w:t>
      </w:r>
      <w:bookmarkEnd w:id="13"/>
    </w:p>
    <w:p>
      <w:pPr>
        <w:ind w:firstLine="560"/>
        <w:outlineLvl w:val="2"/>
      </w:pPr>
      <w:r>
        <w:rPr>
          <w:rFonts w:hint="eastAsia"/>
        </w:rPr>
        <w:t>1、决策管理</w:t>
      </w:r>
    </w:p>
    <w:p>
      <w:pPr>
        <w:ind w:firstLine="560"/>
      </w:pPr>
      <w:r>
        <w:rPr>
          <w:rFonts w:hint="eastAsia"/>
        </w:rPr>
        <w:t>绩效目标内部管理部分综合得分为</w:t>
      </w:r>
      <w:r>
        <w:rPr>
          <w:rFonts w:hint="eastAsia"/>
          <w:lang w:val="en-US" w:eastAsia="zh-CN"/>
        </w:rPr>
        <w:t>19</w:t>
      </w:r>
      <w:r>
        <w:rPr>
          <w:rFonts w:hint="eastAsia"/>
        </w:rPr>
        <w:t xml:space="preserve">分；其中决策管理得分为 </w:t>
      </w:r>
      <w:r>
        <w:rPr>
          <w:rFonts w:hint="eastAsia"/>
          <w:lang w:val="en-US" w:eastAsia="zh-CN"/>
        </w:rPr>
        <w:t>2</w:t>
      </w:r>
      <w:r>
        <w:rPr>
          <w:rFonts w:hint="eastAsia"/>
        </w:rPr>
        <w:t>分。严格落实</w:t>
      </w:r>
      <w:r>
        <w:rPr>
          <w:rFonts w:hint="eastAsia"/>
          <w:lang w:val="en-US" w:eastAsia="zh-CN"/>
        </w:rPr>
        <w:t>本年度</w:t>
      </w:r>
      <w:r>
        <w:rPr>
          <w:rFonts w:hint="eastAsia"/>
        </w:rPr>
        <w:t>工作报告制度，汇总</w:t>
      </w:r>
      <w:r>
        <w:rPr>
          <w:rFonts w:hint="eastAsia"/>
          <w:lang w:val="en-US" w:eastAsia="zh-CN"/>
        </w:rPr>
        <w:t>各部门</w:t>
      </w:r>
      <w:r>
        <w:rPr>
          <w:rFonts w:hint="eastAsia"/>
        </w:rPr>
        <w:t>年度工作完成情况</w:t>
      </w:r>
      <w:r>
        <w:rPr>
          <w:rFonts w:hint="eastAsia"/>
          <w:lang w:val="en-US" w:eastAsia="zh-CN"/>
        </w:rPr>
        <w:t>及安排次年的工作任务</w:t>
      </w:r>
      <w:r>
        <w:rPr>
          <w:rFonts w:hint="eastAsia"/>
        </w:rPr>
        <w:t>，编</w:t>
      </w:r>
      <w:r>
        <w:rPr>
          <w:rFonts w:hint="eastAsia"/>
          <w:lang w:val="en-US" w:eastAsia="zh-CN"/>
        </w:rPr>
        <w:t>写</w:t>
      </w:r>
      <w:r>
        <w:rPr>
          <w:rFonts w:hint="eastAsia"/>
        </w:rPr>
        <w:t>工作总结和工作计划。</w:t>
      </w:r>
    </w:p>
    <w:p>
      <w:pPr>
        <w:ind w:firstLine="560"/>
        <w:outlineLvl w:val="2"/>
      </w:pPr>
      <w:r>
        <w:rPr>
          <w:rFonts w:hint="eastAsia"/>
        </w:rPr>
        <w:t>2、人员管理</w:t>
      </w:r>
    </w:p>
    <w:p>
      <w:pPr>
        <w:ind w:firstLine="560"/>
        <w:rPr>
          <w:rFonts w:hint="default" w:eastAsia="宋体"/>
          <w:lang w:val="en-US" w:eastAsia="zh-CN"/>
        </w:rPr>
      </w:pPr>
      <w:r>
        <w:rPr>
          <w:rFonts w:hint="eastAsia"/>
        </w:rPr>
        <w:t>绩</w:t>
      </w:r>
      <w:r>
        <w:rPr>
          <w:rFonts w:hint="eastAsia" w:ascii="宋体" w:hAnsi="宋体" w:eastAsia="宋体" w:cs="宋体"/>
        </w:rPr>
        <w:t>效目标内部管理部分综合得分为</w:t>
      </w:r>
      <w:r>
        <w:rPr>
          <w:rFonts w:hint="eastAsia" w:ascii="宋体" w:hAnsi="宋体" w:cs="宋体"/>
          <w:lang w:val="en-US" w:eastAsia="zh-CN"/>
        </w:rPr>
        <w:t>19</w:t>
      </w:r>
      <w:r>
        <w:rPr>
          <w:rFonts w:hint="eastAsia" w:ascii="宋体" w:hAnsi="宋体" w:eastAsia="宋体" w:cs="宋体"/>
        </w:rPr>
        <w:t xml:space="preserve">分；其中人员管理得分为 </w:t>
      </w:r>
      <w:r>
        <w:rPr>
          <w:rFonts w:hint="eastAsia" w:ascii="宋体" w:hAnsi="宋体" w:cs="宋体"/>
          <w:lang w:val="en-US" w:eastAsia="zh-CN"/>
        </w:rPr>
        <w:t>2.5</w:t>
      </w:r>
      <w:r>
        <w:rPr>
          <w:rFonts w:hint="eastAsia" w:ascii="宋体" w:hAnsi="宋体" w:eastAsia="宋体" w:cs="宋体"/>
        </w:rPr>
        <w:t>分。不断健全人事管理制度；</w:t>
      </w:r>
      <w:r>
        <w:rPr>
          <w:rFonts w:hint="eastAsia" w:ascii="宋体" w:hAnsi="宋体" w:cs="宋体"/>
          <w:lang w:val="en-US" w:eastAsia="zh-CN"/>
        </w:rPr>
        <w:t>并</w:t>
      </w:r>
      <w:r>
        <w:rPr>
          <w:rFonts w:hint="eastAsia" w:ascii="宋体" w:hAnsi="宋体" w:eastAsia="宋体" w:cs="宋体"/>
        </w:rPr>
        <w:t>根据单位工作需要对工作人员组织培训，提升员工工作能力。</w:t>
      </w:r>
      <w:r>
        <w:rPr>
          <w:rFonts w:hint="eastAsia" w:ascii="宋体" w:hAnsi="宋体" w:cs="宋体"/>
          <w:lang w:val="en-US" w:eastAsia="zh-CN"/>
        </w:rPr>
        <w:t>同时本单位刚组建不久，在组织的人员培训学习内容上与实际事务处理存在略微不同，在此之</w:t>
      </w:r>
      <w:r>
        <w:rPr>
          <w:rFonts w:hint="eastAsia" w:ascii="宋体" w:hAnsi="宋体" w:cs="宋体"/>
          <w:color w:val="auto"/>
          <w:lang w:val="en-US" w:eastAsia="zh-CN"/>
        </w:rPr>
        <w:t>后将</w:t>
      </w:r>
      <w:r>
        <w:rPr>
          <w:rFonts w:hint="eastAsia" w:ascii="宋体" w:hAnsi="宋体" w:cs="宋体"/>
          <w:lang w:val="en-US" w:eastAsia="zh-CN"/>
        </w:rPr>
        <w:t>不断完善人员培训内容。</w:t>
      </w:r>
    </w:p>
    <w:p>
      <w:pPr>
        <w:ind w:firstLine="560"/>
        <w:outlineLvl w:val="2"/>
      </w:pPr>
      <w:r>
        <w:rPr>
          <w:rFonts w:hint="eastAsia"/>
        </w:rPr>
        <w:t>3、资金及资产管理</w:t>
      </w:r>
    </w:p>
    <w:p>
      <w:pPr>
        <w:ind w:firstLine="560"/>
        <w:rPr>
          <w:rFonts w:hint="default" w:eastAsia="宋体"/>
          <w:lang w:val="en-US" w:eastAsia="zh-CN"/>
        </w:rPr>
      </w:pPr>
      <w:r>
        <w:rPr>
          <w:rFonts w:hint="eastAsia"/>
        </w:rPr>
        <w:t>绩效目标内部管理部分综合得分为</w:t>
      </w:r>
      <w:r>
        <w:rPr>
          <w:rFonts w:hint="eastAsia"/>
          <w:lang w:val="en-US" w:eastAsia="zh-CN"/>
        </w:rPr>
        <w:t>19</w:t>
      </w:r>
      <w:r>
        <w:rPr>
          <w:rFonts w:hint="eastAsia"/>
        </w:rPr>
        <w:t xml:space="preserve">分；其中资金及资产管理得分为 </w:t>
      </w:r>
      <w:r>
        <w:rPr>
          <w:rFonts w:hint="eastAsia"/>
          <w:lang w:val="en-US" w:eastAsia="zh-CN"/>
        </w:rPr>
        <w:t>6</w:t>
      </w:r>
      <w:r>
        <w:rPr>
          <w:rFonts w:hint="eastAsia"/>
        </w:rPr>
        <w:t>分。</w:t>
      </w:r>
      <w:r>
        <w:rPr>
          <w:rFonts w:hint="eastAsia"/>
          <w:lang w:val="en-US" w:eastAsia="zh-CN"/>
        </w:rPr>
        <w:t>资金及资产管理严格按照相关法规和财务管理制度进行，对于资金的使用达到专款专用。同时严格执行固定资产管理及采购，按规定配置相关办公设备，规范领用程序，保证资金及资产管理安全。</w:t>
      </w:r>
    </w:p>
    <w:p>
      <w:pPr>
        <w:ind w:firstLine="560"/>
        <w:outlineLvl w:val="2"/>
      </w:pPr>
      <w:r>
        <w:rPr>
          <w:rFonts w:hint="eastAsia"/>
        </w:rPr>
        <w:t>4、机构建设与内控管理</w:t>
      </w:r>
    </w:p>
    <w:p>
      <w:pPr>
        <w:ind w:firstLine="560"/>
      </w:pPr>
      <w:r>
        <w:rPr>
          <w:rFonts w:hint="eastAsia"/>
        </w:rPr>
        <w:t>绩效目标内部管理部分综合得分为</w:t>
      </w:r>
      <w:r>
        <w:rPr>
          <w:rFonts w:hint="eastAsia"/>
          <w:lang w:val="en-US" w:eastAsia="zh-CN"/>
        </w:rPr>
        <w:t>19</w:t>
      </w:r>
      <w:r>
        <w:rPr>
          <w:rFonts w:hint="eastAsia"/>
        </w:rPr>
        <w:t xml:space="preserve">分；其中机构建设与内控管理得分为 </w:t>
      </w:r>
      <w:r>
        <w:rPr>
          <w:rFonts w:hint="eastAsia"/>
          <w:lang w:val="en-US" w:eastAsia="zh-CN"/>
        </w:rPr>
        <w:t>8.5</w:t>
      </w:r>
      <w:r>
        <w:rPr>
          <w:rFonts w:hint="eastAsia"/>
        </w:rPr>
        <w:t>分。</w:t>
      </w:r>
      <w:r>
        <w:rPr>
          <w:rFonts w:hint="eastAsia"/>
          <w:lang w:val="en-US" w:eastAsia="zh-CN"/>
        </w:rPr>
        <w:t>本单位坚决</w:t>
      </w:r>
      <w:r>
        <w:rPr>
          <w:rFonts w:hint="eastAsia"/>
        </w:rPr>
        <w:t>严格落实中央规定精神及其实施细则，</w:t>
      </w:r>
      <w:r>
        <w:rPr>
          <w:rFonts w:hint="eastAsia"/>
          <w:highlight w:val="none"/>
        </w:rPr>
        <w:t>202</w:t>
      </w:r>
      <w:r>
        <w:rPr>
          <w:rFonts w:hint="eastAsia"/>
          <w:highlight w:val="none"/>
          <w:lang w:val="en-US" w:eastAsia="zh-CN"/>
        </w:rPr>
        <w:t>1</w:t>
      </w:r>
      <w:r>
        <w:rPr>
          <w:rFonts w:hint="eastAsia"/>
          <w:highlight w:val="none"/>
        </w:rPr>
        <w:t>年</w:t>
      </w:r>
      <w:r>
        <w:rPr>
          <w:rFonts w:hint="eastAsia"/>
          <w:highlight w:val="none"/>
          <w:lang w:val="en-US" w:eastAsia="zh-CN"/>
        </w:rPr>
        <w:t>连云港市市政公用事业发展中心</w:t>
      </w:r>
      <w:r>
        <w:rPr>
          <w:rFonts w:hint="eastAsia"/>
          <w:highlight w:val="none"/>
        </w:rPr>
        <w:t>获得全市综合</w:t>
      </w:r>
      <w:r>
        <w:rPr>
          <w:rFonts w:hint="eastAsia"/>
        </w:rPr>
        <w:t>考核</w:t>
      </w:r>
      <w:r>
        <w:rPr>
          <w:rFonts w:hint="eastAsia"/>
          <w:lang w:val="en-US" w:eastAsia="zh-CN"/>
        </w:rPr>
        <w:t>一等奖，</w:t>
      </w:r>
      <w:r>
        <w:rPr>
          <w:rFonts w:hint="eastAsia"/>
        </w:rPr>
        <w:t>在部门工作创新上，虽然有所</w:t>
      </w:r>
      <w:r>
        <w:rPr>
          <w:rFonts w:hint="eastAsia"/>
          <w:lang w:val="en-US" w:eastAsia="zh-CN"/>
        </w:rPr>
        <w:t>探索和发展</w:t>
      </w:r>
      <w:r>
        <w:rPr>
          <w:rFonts w:hint="eastAsia"/>
        </w:rPr>
        <w:t>，但是</w:t>
      </w:r>
      <w:r>
        <w:rPr>
          <w:rFonts w:hint="eastAsia"/>
          <w:lang w:val="en-US" w:eastAsia="zh-CN"/>
        </w:rPr>
        <w:t>效果</w:t>
      </w:r>
      <w:r>
        <w:rPr>
          <w:rFonts w:hint="eastAsia"/>
        </w:rPr>
        <w:t>不显著，下年度需要继续努力。</w:t>
      </w:r>
    </w:p>
    <w:p>
      <w:pPr>
        <w:pStyle w:val="3"/>
        <w:ind w:firstLine="643"/>
        <w:rPr>
          <w:bCs/>
          <w:szCs w:val="32"/>
        </w:rPr>
      </w:pPr>
      <w:bookmarkStart w:id="14" w:name="_Toc2518"/>
      <w:bookmarkStart w:id="15" w:name="_Toc27950"/>
      <w:r>
        <w:rPr>
          <w:rFonts w:hint="eastAsia"/>
        </w:rPr>
        <w:t>3.2、部门履职（各指标得分情况和绩效分析）</w:t>
      </w:r>
      <w:bookmarkEnd w:id="14"/>
      <w:bookmarkEnd w:id="15"/>
    </w:p>
    <w:p>
      <w:pPr>
        <w:ind w:firstLine="560"/>
      </w:pPr>
      <w:r>
        <w:rPr>
          <w:rFonts w:hint="eastAsia"/>
        </w:rPr>
        <w:t>1、职能一：参与编制城市市政公用、园林绿化行业规划和计划，并督促实施；牵头起草地方市政公用设施养护和园林绿化管理方面的技术规范、技术标准、养护标准和考核办法，并督促实施；得分</w:t>
      </w:r>
      <w:r>
        <w:rPr>
          <w:rFonts w:hint="eastAsia"/>
          <w:lang w:val="en-US" w:eastAsia="zh-CN"/>
        </w:rPr>
        <w:t>8</w:t>
      </w:r>
      <w:r>
        <w:rPr>
          <w:rFonts w:hint="eastAsia"/>
        </w:rPr>
        <w:t>分</w:t>
      </w:r>
      <w:r>
        <w:rPr>
          <w:rFonts w:hint="eastAsia"/>
          <w:lang w:eastAsia="zh-CN"/>
        </w:rPr>
        <w:t>。</w:t>
      </w:r>
      <w:r>
        <w:rPr>
          <w:rFonts w:hint="eastAsia"/>
        </w:rPr>
        <w:t>（1）探索市政公用板块专班实践机制，确立市政道路绿化、城市水治理、路灯管理三个板块业务运作方向</w:t>
      </w:r>
      <w:r>
        <w:rPr>
          <w:rFonts w:hint="eastAsia"/>
          <w:lang w:eastAsia="zh-CN"/>
        </w:rPr>
        <w:t>；</w:t>
      </w:r>
      <w:r>
        <w:rPr>
          <w:rFonts w:hint="eastAsia"/>
        </w:rPr>
        <w:t>（2）牵头制定《连云港市城市排水管理办法》、《连云港市城区市政道路园林绿化移交养护管理办法》、《连云港市城区城市照明设施移交接管管理办法》等行业管理办法，出台《燃气工程管理规定》（试行），规范燃气工程管理。组织编制《连云港城市节水规划（2020—2030）》报送省住建厅；（3）构建市政公用板块安全生产、安全发展制度体系，保障市政公用事业安全生产健康有序发展；（</w:t>
      </w:r>
      <w:r>
        <w:rPr>
          <w:rFonts w:hint="eastAsia"/>
          <w:color w:val="auto"/>
        </w:rPr>
        <w:t>4）支持发挥局专班机制的效力，对接市三个专班机制，研究专班和中心日常工作的衔接机制，做好相关业务的具体落实工作，努力提升专班机制效率</w:t>
      </w:r>
      <w:r>
        <w:rPr>
          <w:rFonts w:hint="eastAsia"/>
        </w:rPr>
        <w:t>；（5）开展市区市政道路、绿化基础设施普查，推进市政设施接收机制的研究；（6）启动综合管理信息平台建设的研究工作；（7）整合涉及市政公用行业燃气、自来水报装业务窗口，规范审批流程，逐步完善推进相关业务窗口建设；（8）研究市政公用项目库、信息库建设；（9）积极调整版块业务预算机制。认真研究对照上级政策文件，编制完善《连云港市加强城市地下基础设施建设实施方案》、《</w:t>
      </w:r>
      <w:r>
        <w:rPr>
          <w:rFonts w:hint="eastAsia"/>
          <w:lang w:val="en-US" w:eastAsia="zh-CN"/>
        </w:rPr>
        <w:t>连</w:t>
      </w:r>
      <w:r>
        <w:rPr>
          <w:rFonts w:hint="eastAsia"/>
          <w:color w:val="auto"/>
          <w:lang w:val="en-US" w:eastAsia="zh-CN"/>
        </w:rPr>
        <w:t>云港</w:t>
      </w:r>
      <w:r>
        <w:rPr>
          <w:rFonts w:hint="eastAsia"/>
          <w:color w:val="auto"/>
        </w:rPr>
        <w:t>市城市地下</w:t>
      </w:r>
      <w:r>
        <w:rPr>
          <w:rFonts w:hint="eastAsia"/>
        </w:rPr>
        <w:t>市政基础设施普查和综合信息管理平台建设实施方案》</w:t>
      </w:r>
      <w:r>
        <w:rPr>
          <w:rFonts w:hint="eastAsia"/>
          <w:lang w:eastAsia="zh-CN"/>
        </w:rPr>
        <w:t>。</w:t>
      </w:r>
    </w:p>
    <w:p>
      <w:pPr>
        <w:ind w:firstLine="560"/>
        <w:rPr>
          <w:rFonts w:hint="eastAsia" w:ascii="宋体" w:hAnsi="宋体" w:eastAsia="宋体" w:cs="宋体"/>
          <w:lang w:val="en-US" w:eastAsia="zh-CN"/>
        </w:rPr>
      </w:pPr>
      <w:r>
        <w:rPr>
          <w:rFonts w:hint="eastAsia"/>
        </w:rPr>
        <w:t>2、职能二：负责城市道路、桥梁、供水、排水、燃气、供热、照明等设施养护管理工作；负责全市园林绿化养护管理工作；负责城市市政公用、园林绿化行业行政审批事项的审核和批后监管工作；负责市政公用防汛、排涝、抗台等工作；承担督促市政公用行业工程项目建设主体履行基本建设程序的管理工作</w:t>
      </w:r>
      <w:r>
        <w:rPr>
          <w:rFonts w:hint="eastAsia"/>
          <w:lang w:eastAsia="zh-CN"/>
        </w:rPr>
        <w:t>；</w:t>
      </w:r>
      <w:r>
        <w:rPr>
          <w:rFonts w:hint="eastAsia"/>
        </w:rPr>
        <w:t>得分</w:t>
      </w:r>
      <w:r>
        <w:rPr>
          <w:rFonts w:hint="eastAsia"/>
          <w:lang w:val="en-US" w:eastAsia="zh-CN"/>
        </w:rPr>
        <w:t>24</w:t>
      </w:r>
      <w:r>
        <w:rPr>
          <w:rFonts w:hint="eastAsia"/>
        </w:rPr>
        <w:t>分</w:t>
      </w:r>
      <w:r>
        <w:rPr>
          <w:rFonts w:hint="eastAsia"/>
          <w:color w:val="auto"/>
          <w:lang w:eastAsia="zh-CN"/>
        </w:rPr>
        <w:t>。（</w:t>
      </w:r>
      <w:r>
        <w:rPr>
          <w:rFonts w:hint="eastAsia" w:ascii="宋体" w:hAnsi="宋体" w:eastAsia="宋体"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对市区主次干道上40座城市桥梁进行维修养护，完成桥梁支座更换1784个，裂缝维修4200余米，沥青灌缝2300余米，混凝土涂装2700平方等，该项目于2021年7月份完工</w:t>
      </w:r>
      <w:r>
        <w:rPr>
          <w:rFonts w:hint="eastAsia" w:ascii="宋体" w:hAnsi="宋体" w:cs="宋体"/>
          <w:color w:val="auto"/>
          <w:lang w:eastAsia="zh-CN"/>
        </w:rPr>
        <w:t>；</w:t>
      </w: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lang w:eastAsia="zh-CN"/>
        </w:rPr>
        <w:t>）</w:t>
      </w:r>
      <w:r>
        <w:rPr>
          <w:rFonts w:hint="eastAsia" w:ascii="宋体" w:hAnsi="宋体" w:eastAsia="宋体" w:cs="宋体"/>
          <w:color w:val="auto"/>
        </w:rPr>
        <w:t>完</w:t>
      </w:r>
      <w:r>
        <w:rPr>
          <w:rFonts w:hint="eastAsia" w:ascii="宋体" w:hAnsi="宋体" w:eastAsia="宋体" w:cs="宋体"/>
        </w:rPr>
        <w:t>成平山泵站出水管维修以及平山路污水管维修、西盐河钢坝井智能化改造等四标段施工。开展五标段前期工作，进一步摸排缺陷管网现状以及管网修复施工图设计，目前正在实施施工招标文件及清单编制，预计年底完成主体施工</w:t>
      </w:r>
      <w:r>
        <w:rPr>
          <w:rFonts w:hint="eastAsia" w:ascii="宋体" w:hAnsi="宋体" w:cs="宋体"/>
          <w:lang w:eastAsia="zh-CN"/>
        </w:rPr>
        <w:t>；</w:t>
      </w: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完成4座泵站高压配电设备改造，目前郁洲南路、苍梧绿园泵站、平山路泵站等3座泵站已正式通电，圣湖路泵站设备已完成前期试验检测，待供电部门停电申请批准后进行安装，计划年底前完成</w:t>
      </w:r>
      <w:r>
        <w:rPr>
          <w:rFonts w:hint="eastAsia" w:ascii="宋体" w:hAnsi="宋体" w:cs="宋体"/>
          <w:lang w:eastAsia="zh-CN"/>
        </w:rPr>
        <w:t>；</w:t>
      </w: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为群众打造整洁美观的市政道路和城市绿化环境。开展城区主、次干道人行道、沥青路面坑塘专项检查和绿化环境提升活动，共更换草花2000平方米，补植乔木500余株，补植更换草坪1500平方米，修剪法桐和受冻香樟，开展并完成12条城区主次干道病虫害防治工作</w:t>
      </w:r>
      <w:r>
        <w:rPr>
          <w:rFonts w:hint="eastAsia" w:ascii="宋体" w:hAnsi="宋体" w:cs="宋体"/>
          <w:lang w:eastAsia="zh-CN"/>
        </w:rPr>
        <w:t>；</w:t>
      </w: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已完成初步设计工作，审核通过后，年底前开展大中修及背街小巷照明设施改造工程和路灯节能智慧化改造，预计更换民主桥、西大堤等路段上老化灯杆灯具336杆，将海宁路（幸福路—瀛洲路）、凤舞路（科苑路—学院路）等路段上6700余盏高压钠灯更换为LED灯，并安装单灯控制器</w:t>
      </w:r>
      <w:r>
        <w:rPr>
          <w:rFonts w:hint="eastAsia" w:ascii="宋体" w:hAnsi="宋体" w:eastAsia="宋体" w:cs="宋体"/>
          <w:lang w:eastAsia="zh-CN"/>
        </w:rPr>
        <w:t>。</w:t>
      </w:r>
    </w:p>
    <w:p>
      <w:pPr>
        <w:ind w:firstLine="560"/>
        <w:rPr>
          <w:rFonts w:hint="eastAsia" w:ascii="宋体" w:hAnsi="宋体" w:eastAsia="宋体" w:cs="宋体"/>
          <w:lang w:eastAsia="zh-CN"/>
        </w:rPr>
      </w:pPr>
      <w:r>
        <w:rPr>
          <w:rFonts w:hint="eastAsia" w:ascii="宋体" w:hAnsi="宋体" w:eastAsia="宋体" w:cs="宋体"/>
        </w:rPr>
        <w:t>3、职能三：负责市政公用、园林绿化行业管理系统的建设与运行；负责受理并处理市政公用、园林绿化方面的投诉举报、咨询求助、险情信息等；负责市政公用、园林绿化行业安全生产工作、突发事件应急处置以及依法组织或参与有关事故的调查处理；得</w:t>
      </w:r>
      <w:r>
        <w:rPr>
          <w:rFonts w:hint="eastAsia" w:ascii="宋体" w:hAnsi="宋体" w:cs="宋体"/>
          <w:lang w:val="en-US" w:eastAsia="zh-CN"/>
        </w:rPr>
        <w:t>15</w:t>
      </w:r>
      <w:r>
        <w:rPr>
          <w:rFonts w:hint="eastAsia" w:ascii="宋体" w:hAnsi="宋体" w:eastAsia="宋体" w:cs="宋体"/>
        </w:rPr>
        <w:t>分。（1）为群众解决身边的“急难愁盼”。开展“供水服务进社区”活动，帮助解决用水疑问和难题。组织燃气安全宣讲进社区活动。处理12345平台案件排水问题105件、照明问题1029件、报修电话211件，市民回访满意率99.55%</w:t>
      </w:r>
      <w:r>
        <w:rPr>
          <w:rFonts w:hint="eastAsia" w:ascii="宋体" w:hAnsi="宋体" w:cs="宋体"/>
          <w:lang w:eastAsia="zh-CN"/>
        </w:rPr>
        <w:t>；</w:t>
      </w:r>
      <w:r>
        <w:rPr>
          <w:rFonts w:hint="eastAsia" w:ascii="宋体" w:hAnsi="宋体" w:eastAsia="宋体" w:cs="宋体"/>
        </w:rPr>
        <w:t>（</w:t>
      </w:r>
      <w:r>
        <w:rPr>
          <w:rFonts w:hint="eastAsia" w:ascii="宋体" w:hAnsi="宋体" w:cs="宋体"/>
          <w:lang w:val="en-US" w:eastAsia="zh-CN"/>
        </w:rPr>
        <w:t>2</w:t>
      </w:r>
      <w:r>
        <w:rPr>
          <w:rFonts w:hint="eastAsia" w:ascii="宋体" w:hAnsi="宋体" w:eastAsia="宋体" w:cs="宋体"/>
        </w:rPr>
        <w:t>）为群众解决照明难题。开展“光明进社区活动”，排查背街小巷路灯安装情况，维修老旧社区内的路灯设施，及时为老旧小区群众送去光明。向赣榆区班庄镇圈子洪爽村革命老区捐赠80套路灯照明设施，并提供技术指导；（</w:t>
      </w:r>
      <w:r>
        <w:rPr>
          <w:rFonts w:hint="eastAsia" w:ascii="宋体" w:hAnsi="宋体" w:cs="宋体"/>
          <w:lang w:val="en-US" w:eastAsia="zh-CN"/>
        </w:rPr>
        <w:t>3</w:t>
      </w:r>
      <w:r>
        <w:rPr>
          <w:rFonts w:hint="eastAsia" w:ascii="宋体" w:hAnsi="宋体" w:eastAsia="宋体" w:cs="宋体"/>
        </w:rPr>
        <w:t>）中心牵头连云港市瓶装液化气全链条专项整治具体工作，持续保持省内领先水平。瓶装液化气专治办每月对市区、各县区（功能板块）瓶装液化气企业开展督查检查，定期印发专报、通报。督促整改问题隐患，通过关停、查处、治安拘留等手段打击各种瓶装液化气领域违法行为；</w:t>
      </w:r>
      <w:r>
        <w:rPr>
          <w:rFonts w:hint="eastAsia" w:ascii="宋体" w:hAnsi="宋体" w:cs="宋体"/>
          <w:lang w:eastAsia="zh-CN"/>
        </w:rPr>
        <w:t>（</w:t>
      </w:r>
      <w:r>
        <w:rPr>
          <w:rFonts w:hint="eastAsia" w:ascii="宋体" w:hAnsi="宋体" w:cs="宋体"/>
          <w:lang w:val="en-US" w:eastAsia="zh-CN"/>
        </w:rPr>
        <w:t>4</w:t>
      </w:r>
      <w:r>
        <w:rPr>
          <w:rFonts w:hint="eastAsia" w:ascii="宋体" w:hAnsi="宋体" w:cs="宋体"/>
          <w:lang w:eastAsia="zh-CN"/>
        </w:rPr>
        <w:t>）开展管网行业普查摸清底数，为三年大治打下坚实基础。加强隐患排查整治，跟踪督查燃气老旧管网改造事宜，约57公里老旧铸铁管道已完成改造36公里，年底全部完成。采取联动机制，联合市检察、城管、交通、12345平台等部门巩固专项整治成果。开展市区地下管网数据共享平台的优化建设工作，对市区城市地下管线信息系统持续优化升级，计划年底完成平台一期建设。</w:t>
      </w:r>
    </w:p>
    <w:p>
      <w:pPr>
        <w:ind w:firstLine="560"/>
        <w:rPr>
          <w:rFonts w:hint="default" w:eastAsia="宋体"/>
          <w:lang w:val="en-US" w:eastAsia="zh-CN"/>
        </w:rPr>
      </w:pPr>
      <w:r>
        <w:rPr>
          <w:rFonts w:hint="eastAsia"/>
        </w:rPr>
        <w:t>4、</w:t>
      </w:r>
      <w:r>
        <w:t>职能</w:t>
      </w:r>
      <w:r>
        <w:rPr>
          <w:rFonts w:hint="eastAsia"/>
        </w:rPr>
        <w:t>四</w:t>
      </w:r>
      <w:r>
        <w:t>：</w:t>
      </w:r>
      <w:r>
        <w:rPr>
          <w:rFonts w:hint="eastAsia"/>
        </w:rPr>
        <w:t>负责城市各类创建涉及市政公用、园林绿化行业的实施、指导和长效管理工作；得分</w:t>
      </w:r>
      <w:r>
        <w:rPr>
          <w:rFonts w:hint="eastAsia"/>
          <w:lang w:val="en-US" w:eastAsia="zh-CN"/>
        </w:rPr>
        <w:t>3</w:t>
      </w:r>
      <w:r>
        <w:rPr>
          <w:rFonts w:hint="eastAsia"/>
        </w:rPr>
        <w:t>分。结合“迎中秋、庆国庆”节日氛围营造，在盐河景观带、游园广场等主要节点开展亮化氛围营造工程，逐步开展城市点靓行动。安装LED洗墙灯1250米，线条灯600米，铝合金点光源700套，LED台阶灯200套，LED投光灯650套，打造城市新夜景。</w:t>
      </w:r>
      <w:r>
        <w:rPr>
          <w:rFonts w:hint="eastAsia"/>
          <w:lang w:val="en-US" w:eastAsia="zh-CN"/>
        </w:rPr>
        <w:t>本年度计划至少安装亮化灯带2000米，但结合实际需求及情况本年度安装到位的亮化灯带约为1850米，故得3分</w:t>
      </w:r>
    </w:p>
    <w:p>
      <w:pPr>
        <w:ind w:firstLine="560"/>
      </w:pPr>
      <w:r>
        <w:rPr>
          <w:rFonts w:hint="eastAsia"/>
        </w:rPr>
        <w:t>5、职能</w:t>
      </w:r>
      <w:r>
        <w:rPr>
          <w:rFonts w:hint="eastAsia"/>
          <w:color w:val="auto"/>
        </w:rPr>
        <w:t>五</w:t>
      </w:r>
      <w:r>
        <w:rPr>
          <w:rFonts w:hint="eastAsia"/>
          <w:color w:val="auto"/>
          <w:lang w:eastAsia="zh-CN"/>
        </w:rPr>
        <w:t>：</w:t>
      </w:r>
      <w:r>
        <w:rPr>
          <w:rFonts w:hint="eastAsia"/>
          <w:color w:val="auto"/>
        </w:rPr>
        <w:t>负</w:t>
      </w:r>
      <w:r>
        <w:rPr>
          <w:rFonts w:hint="eastAsia"/>
        </w:rPr>
        <w:t>责全市市政公用、园林绿化行业信息统计和编报工作</w:t>
      </w:r>
      <w:r>
        <w:rPr>
          <w:rFonts w:hint="eastAsia"/>
          <w:lang w:eastAsia="zh-CN"/>
        </w:rPr>
        <w:t>，</w:t>
      </w:r>
      <w:r>
        <w:rPr>
          <w:rFonts w:hint="eastAsia"/>
        </w:rPr>
        <w:t>得分</w:t>
      </w:r>
      <w:r>
        <w:rPr>
          <w:rFonts w:hint="eastAsia"/>
          <w:lang w:val="en-US" w:eastAsia="zh-CN"/>
        </w:rPr>
        <w:t>4</w:t>
      </w:r>
      <w:r>
        <w:rPr>
          <w:rFonts w:hint="eastAsia"/>
        </w:rPr>
        <w:t>分。对市政公用设施存量和类别进行梳理，“市区污水管网泵站联网监控管理平台”实现了市区主要排水管网的信息采集自动化、传输网络化、管理智慧化。目前管理污水管网152公里，雨水管网532公里。下一步将根据住建部、省厅综合管理信息平台建设的要求，对现有平台进行评估和优化完善。不断推进市政公用行业全信息应用机制建设，以各类管网信息化建设为主导，全行业、各部门信息先行、统筹共享、综合利用</w:t>
      </w:r>
      <w:r>
        <w:rPr>
          <w:rFonts w:hint="eastAsia"/>
          <w:lang w:eastAsia="zh-CN"/>
        </w:rPr>
        <w:t>。</w:t>
      </w:r>
    </w:p>
    <w:p>
      <w:pPr>
        <w:ind w:firstLine="560"/>
      </w:pPr>
      <w:r>
        <w:rPr>
          <w:rFonts w:hint="eastAsia"/>
        </w:rPr>
        <w:t>6、职能六：承办主管部门交办的其他事项。得分</w:t>
      </w:r>
      <w:r>
        <w:rPr>
          <w:rFonts w:hint="eastAsia"/>
          <w:lang w:val="en-US" w:eastAsia="zh-CN"/>
        </w:rPr>
        <w:t>4</w:t>
      </w:r>
      <w:r>
        <w:rPr>
          <w:rFonts w:hint="eastAsia"/>
        </w:rPr>
        <w:t>分。中心党委贯彻落实局党委党史学习教育要求，扎实推进党史学习教育，坚持以习近平新时代中国特色社会主义思想为指导，通过“三会一课”、主题党日等形式深入学党史，重点学习习近平总书记“七一”重要讲话精神，引导党员树立正确党史观。加强舆论宣</w:t>
      </w:r>
      <w:r>
        <w:rPr>
          <w:rFonts w:hint="eastAsia"/>
          <w:color w:val="auto"/>
        </w:rPr>
        <w:t>传</w:t>
      </w:r>
      <w:r>
        <w:rPr>
          <w:rFonts w:hint="eastAsia"/>
          <w:color w:val="auto"/>
          <w:lang w:val="en-US" w:eastAsia="zh-CN"/>
        </w:rPr>
        <w:t>反映</w:t>
      </w:r>
      <w:r>
        <w:rPr>
          <w:rFonts w:hint="eastAsia"/>
          <w:color w:val="auto"/>
        </w:rPr>
        <w:t>中心</w:t>
      </w:r>
      <w:r>
        <w:rPr>
          <w:rFonts w:hint="eastAsia"/>
        </w:rPr>
        <w:t>党史学习教育开展情况，共在央媒官网客户端（公众号）登稿1篇、市级主流媒体报纸登稿3篇、学习强国江苏学习平台登稿1篇，市住建局网站登稿21篇。</w:t>
      </w:r>
    </w:p>
    <w:p>
      <w:pPr>
        <w:ind w:firstLine="560"/>
        <w:rPr>
          <w:rFonts w:hint="eastAsia"/>
        </w:rPr>
      </w:pPr>
      <w:r>
        <w:rPr>
          <w:rFonts w:hint="eastAsia"/>
        </w:rPr>
        <w:t>7、</w:t>
      </w:r>
      <w:r>
        <w:rPr>
          <w:rFonts w:hint="eastAsia"/>
          <w:lang w:val="en-US" w:eastAsia="zh-CN"/>
        </w:rPr>
        <w:t>履职效果</w:t>
      </w:r>
      <w:r>
        <w:rPr>
          <w:rFonts w:hint="eastAsia"/>
        </w:rPr>
        <w:t>，得分</w:t>
      </w:r>
      <w:r>
        <w:rPr>
          <w:rFonts w:hint="eastAsia"/>
          <w:lang w:val="en-US" w:eastAsia="zh-CN"/>
        </w:rPr>
        <w:t>17</w:t>
      </w:r>
      <w:r>
        <w:rPr>
          <w:rFonts w:hint="eastAsia"/>
        </w:rPr>
        <w:t>分。（1）市政基础设施运维位于省内中游。全年照明设施完好率平均值达到97.7%，主次干道、背街小巷及公共区域照明设施亮灯率平均99.1%，达到省内平均水平。（2）智慧路灯推广应用走在苏北前列。采取“点、线、面”结合的方式在我市逐步推广智慧路灯应用，并选取红砂路开展试点工作。（3）城市水治理保持全省前八。在全省创新推进管长制，统筹推进雨污分流和提质增效工作，工作成效显著。（4）城市家具建设位于全国领先。积极推进护栏智慧化改造，市区护栏改造一期项目获得省科技创新成果三等奖，并入选住建部科技示范项目名录。</w:t>
      </w:r>
    </w:p>
    <w:p>
      <w:pPr>
        <w:pStyle w:val="2"/>
        <w:ind w:firstLine="643"/>
        <w:rPr>
          <w:bCs/>
          <w:szCs w:val="32"/>
        </w:rPr>
      </w:pPr>
      <w:bookmarkStart w:id="16" w:name="_Toc19718"/>
      <w:bookmarkStart w:id="17" w:name="_Toc1315"/>
      <w:r>
        <w:rPr>
          <w:rFonts w:hint="eastAsia"/>
        </w:rPr>
        <w:t>4、需要说明事项</w:t>
      </w:r>
      <w:bookmarkEnd w:id="16"/>
      <w:bookmarkEnd w:id="17"/>
    </w:p>
    <w:p>
      <w:pPr>
        <w:ind w:firstLine="560"/>
        <w:rPr>
          <w:b/>
          <w:bCs/>
          <w:szCs w:val="32"/>
        </w:rPr>
      </w:pPr>
      <w:r>
        <w:rPr>
          <w:rFonts w:hint="eastAsia"/>
        </w:rPr>
        <w:t>无需要说明事项。</w:t>
      </w:r>
    </w:p>
    <w:p>
      <w:pPr>
        <w:pStyle w:val="2"/>
        <w:ind w:firstLine="643"/>
        <w:rPr>
          <w:bCs/>
          <w:szCs w:val="32"/>
        </w:rPr>
      </w:pPr>
      <w:bookmarkStart w:id="18" w:name="_Toc13490"/>
      <w:bookmarkStart w:id="19" w:name="_Toc2103"/>
      <w:r>
        <w:rPr>
          <w:rFonts w:hint="eastAsia"/>
        </w:rPr>
        <w:t>5、绩效评价结论</w:t>
      </w:r>
      <w:bookmarkEnd w:id="18"/>
      <w:bookmarkEnd w:id="19"/>
    </w:p>
    <w:p>
      <w:pPr>
        <w:pStyle w:val="3"/>
        <w:ind w:firstLine="643"/>
        <w:rPr>
          <w:rFonts w:hint="eastAsia"/>
        </w:rPr>
      </w:pPr>
      <w:bookmarkStart w:id="20" w:name="_Toc14567"/>
      <w:bookmarkStart w:id="21" w:name="_Toc30669"/>
      <w:r>
        <w:rPr>
          <w:rFonts w:hint="eastAsia"/>
        </w:rPr>
        <w:t>5.1、绩效评价得分</w:t>
      </w:r>
      <w:bookmarkEnd w:id="20"/>
      <w:bookmarkEnd w:id="21"/>
    </w:p>
    <w:p>
      <w:pPr>
        <w:rPr>
          <w:rFonts w:hint="default" w:eastAsia="宋体"/>
          <w:lang w:val="en-US" w:eastAsia="zh-CN"/>
        </w:rPr>
      </w:pPr>
      <w:r>
        <w:rPr>
          <w:rFonts w:hint="eastAsia"/>
          <w:lang w:val="en-US" w:eastAsia="zh-CN"/>
        </w:rPr>
        <w:t>结合本单位实际情况，根据《部门整体支出绩效评价表》评分，综合得分94分。</w:t>
      </w:r>
    </w:p>
    <w:p>
      <w:pPr>
        <w:pStyle w:val="3"/>
        <w:ind w:firstLine="643"/>
        <w:rPr>
          <w:rFonts w:hint="eastAsia"/>
        </w:rPr>
      </w:pPr>
      <w:bookmarkStart w:id="22" w:name="_Toc26817"/>
      <w:bookmarkStart w:id="23" w:name="_Toc22163"/>
      <w:r>
        <w:rPr>
          <w:rFonts w:hint="eastAsia"/>
        </w:rPr>
        <w:t>5.2、存在绩效问题</w:t>
      </w:r>
      <w:bookmarkEnd w:id="22"/>
      <w:bookmarkEnd w:id="23"/>
    </w:p>
    <w:p>
      <w:pPr>
        <w:rPr>
          <w:rFonts w:hint="eastAsia"/>
          <w:lang w:val="en-US" w:eastAsia="zh-CN"/>
        </w:rPr>
      </w:pPr>
      <w:r>
        <w:rPr>
          <w:rFonts w:hint="eastAsia"/>
          <w:lang w:eastAsia="zh-CN"/>
        </w:rPr>
        <w:t>我</w:t>
      </w:r>
      <w:r>
        <w:rPr>
          <w:rFonts w:hint="eastAsia"/>
          <w:lang w:val="en-US" w:eastAsia="zh-CN"/>
        </w:rPr>
        <w:t>单位在2021年正式完成组建，对于整体绩效评价工作，在指标的设计、流程及人员的业务水平等方面还存有不足之处。</w:t>
      </w:r>
    </w:p>
    <w:p>
      <w:pPr>
        <w:rPr>
          <w:rFonts w:hint="default"/>
          <w:lang w:val="en-US" w:eastAsia="zh-CN"/>
        </w:rPr>
      </w:pPr>
      <w:r>
        <w:rPr>
          <w:rFonts w:hint="eastAsia"/>
          <w:lang w:val="en-US" w:eastAsia="zh-CN"/>
        </w:rPr>
        <w:t>第一，本单位职能及项目特点指标体系后续需要继续完善。第二，部分项目准备时间不足，导致评审往往在于形式或较为粗糙，与绩效目标不够贴合，造成绩效评估难度大。此外我单位分析方法较为单一，专业人才缺失，均影响绩效管理工作的规范性、准确性。</w:t>
      </w:r>
    </w:p>
    <w:p>
      <w:pPr>
        <w:pStyle w:val="2"/>
        <w:ind w:firstLine="643"/>
        <w:rPr>
          <w:bCs/>
          <w:szCs w:val="32"/>
        </w:rPr>
      </w:pPr>
      <w:bookmarkStart w:id="24" w:name="_Toc6504"/>
      <w:bookmarkStart w:id="25" w:name="_Toc10671"/>
      <w:r>
        <w:rPr>
          <w:rFonts w:hint="eastAsia"/>
        </w:rPr>
        <w:t>6、经验教训与建议</w:t>
      </w:r>
      <w:bookmarkEnd w:id="24"/>
      <w:bookmarkEnd w:id="25"/>
    </w:p>
    <w:p>
      <w:pPr>
        <w:pStyle w:val="3"/>
        <w:ind w:firstLine="643"/>
        <w:rPr>
          <w:szCs w:val="32"/>
        </w:rPr>
      </w:pPr>
      <w:bookmarkStart w:id="26" w:name="_Toc29952"/>
      <w:bookmarkStart w:id="27" w:name="_Toc27393"/>
      <w:r>
        <w:rPr>
          <w:rFonts w:hint="eastAsia"/>
        </w:rPr>
        <w:t>6.1、经验教训</w:t>
      </w:r>
      <w:bookmarkEnd w:id="26"/>
      <w:bookmarkEnd w:id="27"/>
    </w:p>
    <w:p>
      <w:pPr>
        <w:ind w:firstLine="560"/>
        <w:rPr>
          <w:rFonts w:hint="default" w:eastAsia="宋体"/>
          <w:color w:val="auto"/>
          <w:szCs w:val="32"/>
          <w:lang w:val="en-US" w:eastAsia="zh-CN"/>
        </w:rPr>
      </w:pPr>
      <w:r>
        <w:rPr>
          <w:rFonts w:hint="eastAsia"/>
          <w:szCs w:val="32"/>
          <w:lang w:val="en-US" w:eastAsia="zh-CN"/>
        </w:rPr>
        <w:t>第一，加强绩效目标管理，根据本单位职能特点建立相对完善的指标体系。第二，完善项目的事前绩效评估机制，给予本单位项目充足的时间准备，项目评</w:t>
      </w:r>
      <w:r>
        <w:rPr>
          <w:rFonts w:hint="eastAsia"/>
          <w:color w:val="auto"/>
          <w:szCs w:val="32"/>
          <w:lang w:val="en-US" w:eastAsia="zh-CN"/>
        </w:rPr>
        <w:t>审不再流于</w:t>
      </w:r>
      <w:r>
        <w:rPr>
          <w:rFonts w:hint="eastAsia"/>
          <w:szCs w:val="32"/>
          <w:lang w:val="en-US" w:eastAsia="zh-CN"/>
        </w:rPr>
        <w:t>形式，与绩效目标紧密契合。最后培养相关人员进行深入学习，分析方法不再单一，</w:t>
      </w:r>
      <w:r>
        <w:rPr>
          <w:rFonts w:hint="eastAsia"/>
          <w:color w:val="auto"/>
          <w:szCs w:val="32"/>
          <w:lang w:val="en-US" w:eastAsia="zh-CN"/>
        </w:rPr>
        <w:t>绩效管理工作做到规范性、准确性、科学性。</w:t>
      </w:r>
    </w:p>
    <w:p>
      <w:pPr>
        <w:pStyle w:val="3"/>
        <w:ind w:firstLine="643"/>
        <w:rPr>
          <w:bCs/>
          <w:szCs w:val="32"/>
        </w:rPr>
      </w:pPr>
      <w:bookmarkStart w:id="28" w:name="_Toc7237"/>
      <w:bookmarkStart w:id="29" w:name="_Toc20220"/>
      <w:r>
        <w:rPr>
          <w:rFonts w:hint="eastAsia"/>
        </w:rPr>
        <w:t>6.2、建议</w:t>
      </w:r>
      <w:bookmarkEnd w:id="28"/>
      <w:bookmarkEnd w:id="29"/>
    </w:p>
    <w:p>
      <w:pPr>
        <w:ind w:firstLine="560"/>
      </w:pPr>
      <w:r>
        <w:rPr>
          <w:rFonts w:hint="eastAsia"/>
        </w:rPr>
        <w:t>（一）</w:t>
      </w:r>
      <w:r>
        <w:rPr>
          <w:rFonts w:hint="eastAsia"/>
          <w:lang w:val="en-US" w:eastAsia="zh-CN"/>
        </w:rPr>
        <w:t>组织相关人员进行学习</w:t>
      </w:r>
      <w:r>
        <w:rPr>
          <w:rFonts w:hint="eastAsia"/>
        </w:rPr>
        <w:t>培训</w:t>
      </w:r>
      <w:r>
        <w:rPr>
          <w:rFonts w:hint="eastAsia"/>
          <w:lang w:eastAsia="zh-CN"/>
        </w:rPr>
        <w:t>、</w:t>
      </w:r>
      <w:r>
        <w:rPr>
          <w:rFonts w:hint="eastAsia"/>
          <w:lang w:val="en-US" w:eastAsia="zh-CN"/>
        </w:rPr>
        <w:t>经验交流。结合实际情况提供政策指导。</w:t>
      </w:r>
      <w:r>
        <w:rPr>
          <w:rFonts w:hint="eastAsia"/>
        </w:rPr>
        <w:t>加强财务人员对新《预算法》、《政府会计准则》和《政府会计制度》等相关方面的业务培训学习，提升部门绩效管理能力。</w:t>
      </w:r>
    </w:p>
    <w:p>
      <w:pPr>
        <w:ind w:firstLine="560"/>
        <w:rPr>
          <w:rFonts w:hint="eastAsia"/>
          <w:lang w:eastAsia="zh-CN"/>
        </w:rPr>
      </w:pPr>
      <w:r>
        <w:rPr>
          <w:rFonts w:hint="eastAsia"/>
        </w:rPr>
        <w:t>（二）</w:t>
      </w:r>
      <w:r>
        <w:rPr>
          <w:rFonts w:hint="eastAsia"/>
          <w:lang w:val="en-US" w:eastAsia="zh-CN"/>
        </w:rPr>
        <w:t>建议加大我单位</w:t>
      </w:r>
      <w:r>
        <w:rPr>
          <w:rFonts w:hint="eastAsia"/>
        </w:rPr>
        <w:t>部门的预算支持力度，保障业务项目的实施、运行</w:t>
      </w:r>
      <w:r>
        <w:rPr>
          <w:rFonts w:hint="eastAsia"/>
          <w:lang w:eastAsia="zh-CN"/>
        </w:rPr>
        <w:t>。</w:t>
      </w:r>
    </w:p>
    <w:p>
      <w:pPr>
        <w:ind w:firstLine="560"/>
        <w:rPr>
          <w:rFonts w:hint="default"/>
          <w:lang w:val="en-US" w:eastAsia="zh-CN"/>
        </w:rPr>
        <w:sectPr>
          <w:footerReference r:id="rId7" w:type="default"/>
          <w:pgSz w:w="11906" w:h="16838"/>
          <w:pgMar w:top="1440" w:right="1800" w:bottom="1440" w:left="1800" w:header="851" w:footer="992" w:gutter="0"/>
          <w:pgNumType w:fmt="decimal" w:start="1"/>
          <w:cols w:space="425" w:num="1"/>
          <w:docGrid w:type="lines" w:linePitch="312" w:charSpace="0"/>
        </w:sectPr>
      </w:pPr>
    </w:p>
    <w:p>
      <w:pPr>
        <w:ind w:left="0" w:leftChars="0" w:firstLine="0" w:firstLineChars="0"/>
        <w:rPr>
          <w:rFonts w:hint="eastAsia"/>
        </w:rPr>
      </w:pPr>
      <w:bookmarkStart w:id="30" w:name="_Toc10735"/>
      <w:bookmarkStart w:id="31" w:name="_Toc6764"/>
      <w:r>
        <w:rPr>
          <w:rFonts w:hint="eastAsia"/>
        </w:rPr>
        <w:t>附：部门整体绩效评价指标评分表</w:t>
      </w:r>
      <w:bookmarkEnd w:id="30"/>
      <w:bookmarkEnd w:id="31"/>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723"/>
        <w:gridCol w:w="2726"/>
        <w:gridCol w:w="4556"/>
        <w:gridCol w:w="922"/>
        <w:gridCol w:w="1143"/>
        <w:gridCol w:w="990"/>
        <w:gridCol w:w="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连云港市市政公用事业发展中心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一级指标</w:t>
            </w:r>
          </w:p>
        </w:tc>
        <w:tc>
          <w:tcPr>
            <w:tcW w:w="9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二级指标</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三级指标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权重</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目标值</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完成值</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内部管理（20分）</w:t>
            </w:r>
          </w:p>
        </w:tc>
        <w:tc>
          <w:tcPr>
            <w:tcW w:w="97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决策管理</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中长期规划</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年度工作计划</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人员管理</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财政供养人员控制情况</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人事管理制度建设</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工作人员学习与培训</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达标</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资金及资产管理</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财务管理规范性</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支出调整预算执行率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专款专用率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政府采购情况</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资产管理情况</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固定资产利用率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机构建设与内控管理</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信息公开度</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工作风险控制</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档案管理</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违纪违法发生数</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党建工作完成率</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网络及信息系统管理与运行</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安全稳定</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安全稳定</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部门工作创新</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有</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内控报告编制</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9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default" w:ascii="ËÎÌå" w:hAnsi="ËÎÌå" w:eastAsia="ËÎÌå" w:cs="ËÎÌå"/>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年终考评等级</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一、二等奖</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一等奖</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977"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部门履职（80分）</w:t>
            </w:r>
          </w:p>
        </w:tc>
        <w:tc>
          <w:tcPr>
            <w:tcW w:w="97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职能1：参与编制城市市政公用、园林绿化行业规划和计划，并督促实施；牵头起草地方市政公用设施养护和园林绿化管理方面的技术规范、技术标准、养护标准和考核办法，并督促实施；</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目标1：建立相关行业机制体制</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≥6项</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8项</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目标2：牵头制定、出台相关行业管理办法等</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≥2项</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3项</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Style w:val="15"/>
                <w:lang w:val="en-US" w:eastAsia="zh-CN" w:bidi="ar"/>
              </w:rPr>
              <w:t>职能2：负责城市道路、桥梁、供水、排水、燃气、供热、照明等设施</w:t>
            </w:r>
            <w:r>
              <w:rPr>
                <w:rStyle w:val="16"/>
                <w:lang w:val="en-US" w:eastAsia="zh-CN" w:bidi="ar"/>
              </w:rPr>
              <w:t>养护管</w:t>
            </w:r>
            <w:r>
              <w:rPr>
                <w:rStyle w:val="15"/>
                <w:lang w:val="en-US" w:eastAsia="zh-CN" w:bidi="ar"/>
              </w:rPr>
              <w:t>理工作；负责全市园林绿化养护管理工作；负责城市市政公用、园林绿化行业行政审批事项的审核和批后监管工作；负责市政公用防汛、排涝、抗台等工作；承担督促市政公用行业工程项目建设主体履行基本建设程序的管理工作；</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目标1：城市桥梁维修养护工程</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≥35座</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40座</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目标2：海州城区缺陷污水管网修复工程</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≥4次</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 次</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目标3：连云港市区污水提升泵站改造工程</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≥4座</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4座</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目标4：进行城市绿化养护</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目标5：连云港市城市照明提升工程</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0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能3：负责市政公用、园林绿化行业管理系统的建设与运行；负责受理并处理市政公用、园林绿化方面的投诉举报、咨询求助、险情信息等；负责市政公用、园林绿化行业安全生产工作、突发事件应急处置以及依法组织或参与有关事故的调查处理；</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目标1：为群众解决身边的排水、照明、报修等困难</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≥1200件</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1345件</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eastAsia" w:ascii="Arial" w:hAnsi="Arial"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4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目标2：排查、维修部分老旧社区照明设施</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eastAsia" w:ascii="Arial" w:hAnsi="Arial" w:cs="Arial"/>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目标3：瓶装液化气全链条专项整治</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目标4：开展管网行业普查摸清底数，加强隐患排查整治</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eastAsia" w:ascii="Arial" w:hAnsi="Arial" w:cs="Arial"/>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职能4：负责城市各类创建涉及市政公用、园林绿化行业的实施、指导和长效管理工作；</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目标1：开展亮化氛围营造工程，逐步开展城市点靓行动，</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安装灯带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≥2000米</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1850米</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职能5：负责全市市政公用、园林绿化行业信息统计和编报工作；</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目标1：建设市区污水管网泵站联网监控管理平台</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职能6：承办主管部门交办的其他事项。</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目标1：加强舆论宣传</w:t>
            </w:r>
            <w:r>
              <w:rPr>
                <w:rFonts w:hint="eastAsia" w:ascii="宋体" w:hAnsi="宋体" w:cs="宋体"/>
                <w:i w:val="0"/>
                <w:color w:val="000000"/>
                <w:kern w:val="0"/>
                <w:sz w:val="20"/>
                <w:szCs w:val="20"/>
                <w:u w:val="none"/>
                <w:lang w:val="en-US" w:eastAsia="zh-CN" w:bidi="ar"/>
              </w:rPr>
              <w:t>反映</w:t>
            </w:r>
            <w:r>
              <w:rPr>
                <w:rFonts w:hint="eastAsia" w:ascii="宋体" w:hAnsi="宋体" w:eastAsia="宋体" w:cs="宋体"/>
                <w:i w:val="0"/>
                <w:color w:val="000000"/>
                <w:kern w:val="0"/>
                <w:sz w:val="20"/>
                <w:szCs w:val="20"/>
                <w:u w:val="none"/>
                <w:lang w:val="en-US" w:eastAsia="zh-CN" w:bidi="ar"/>
              </w:rPr>
              <w:t>中心党史学习教育开展情况并登稿</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登稿≥20</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履职效果</w:t>
            </w: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城市水治理保持全省前八。在全省创新推进管长制，统筹推进雨污分流和提质增效工作，工作成效显著。</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城市家具建设位于全国领先。积极推进护栏智慧化改造，市区护栏改造一期项目获得省科技创新成果三等奖，并入选住建部科技示范项目名录。</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市政基础设施运维位于省内中游。全年照明设施完好率平均值达到97.7%，主次干道、背街小巷及公共区域照明设施亮灯率平均99.1%，达到省内平均水平。</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80" w:hRule="atLeast"/>
        </w:trPr>
        <w:tc>
          <w:tcPr>
            <w:tcW w:w="977"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智慧路灯推广应用走在苏北前列。采取“点、线、面”结合的方式在我市逐步推广智慧路灯应用，并选取红砂路开展试点工作。</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ËÎÌå" w:hAnsi="ËÎÌå" w:eastAsia="ËÎÌå" w:cs="ËÎÌå"/>
                <w:i w:val="0"/>
                <w:color w:val="000000"/>
                <w:sz w:val="20"/>
                <w:szCs w:val="20"/>
                <w:u w:val="none"/>
              </w:rPr>
            </w:pPr>
            <w:r>
              <w:rPr>
                <w:rFonts w:hint="default" w:ascii="ËÎÌå" w:hAnsi="ËÎÌå" w:eastAsia="ËÎÌå" w:cs="ËÎÌå"/>
                <w:i w:val="0"/>
                <w:color w:val="000000"/>
                <w:kern w:val="0"/>
                <w:sz w:val="20"/>
                <w:szCs w:val="20"/>
                <w:u w:val="none"/>
                <w:lang w:val="en-US" w:eastAsia="zh-CN" w:bidi="ar"/>
              </w:rPr>
              <w:t>合计</w:t>
            </w: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w:t>
            </w:r>
          </w:p>
        </w:tc>
        <w:tc>
          <w:tcPr>
            <w:tcW w:w="41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20"/>
                <w:szCs w:val="20"/>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default" w:ascii="Arial" w:hAnsi="Arial" w:eastAsia="宋体" w:cs="Arial"/>
                <w:i w:val="0"/>
                <w:color w:val="000000"/>
                <w:sz w:val="20"/>
                <w:szCs w:val="20"/>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9</w:t>
            </w:r>
            <w:r>
              <w:rPr>
                <w:rFonts w:hint="eastAsia" w:ascii="Arial" w:hAnsi="Arial" w:cs="Arial"/>
                <w:i w:val="0"/>
                <w:color w:val="000000"/>
                <w:kern w:val="0"/>
                <w:sz w:val="20"/>
                <w:szCs w:val="20"/>
                <w:u w:val="none"/>
                <w:lang w:val="en-US" w:eastAsia="zh-CN" w:bidi="ar"/>
              </w:rPr>
              <w:t>4</w:t>
            </w:r>
          </w:p>
        </w:tc>
      </w:tr>
    </w:tbl>
    <w:p>
      <w:pPr>
        <w:ind w:left="0" w:leftChars="0" w:firstLine="0" w:firstLineChars="0"/>
        <w:rPr>
          <w:rFonts w:hint="eastAsia"/>
        </w:rPr>
      </w:pPr>
    </w:p>
    <w:p>
      <w:pPr>
        <w:ind w:firstLine="640"/>
        <w:rPr>
          <w:sz w:val="32"/>
          <w:szCs w:val="32"/>
        </w:rPr>
      </w:pPr>
    </w:p>
    <w:sectPr>
      <w:footerReference r:id="rId8" w:type="default"/>
      <w:pgSz w:w="16838" w:h="11906" w:orient="landscape"/>
      <w:pgMar w:top="1800" w:right="1440" w:bottom="180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ËÎÌå">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ind w:firstLine="360"/>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C2KqUrQAQAAogMAAA4AAAAAAAAAAQAgAAAAHwEAAGRy&#10;cy9lMm9Eb2MueG1sUEsFBgAAAAAGAAYAWQEAAGEFAAAAAA==&#10;">
              <v:fill on="f" focussize="0,0"/>
              <v:stroke on="f" weight="0.5pt"/>
              <v:imagedata o:title=""/>
              <o:lock v:ext="edit" aspectratio="f"/>
              <v:textbox inset="0mm,0mm,0mm,0mm" style="mso-fit-shape-to-text:t;">
                <w:txbxContent>
                  <w:p>
                    <w:pPr>
                      <w:pStyle w:val="6"/>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B1q+s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UtKHLc48PPPH+dff86/v5Pr&#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PAdavr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80365"/>
    <w:multiLevelType w:val="singleLevel"/>
    <w:tmpl w:val="98380365"/>
    <w:lvl w:ilvl="0" w:tentative="0">
      <w:start w:val="1"/>
      <w:numFmt w:val="chineseCounting"/>
      <w:suff w:val="nothing"/>
      <w:lvlText w:val="（%1）"/>
      <w:lvlJc w:val="left"/>
      <w:rPr>
        <w:rFonts w:hint="eastAsia"/>
      </w:rPr>
    </w:lvl>
  </w:abstractNum>
  <w:abstractNum w:abstractNumId="1">
    <w:nsid w:val="C5B0CF40"/>
    <w:multiLevelType w:val="multilevel"/>
    <w:tmpl w:val="C5B0CF4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2">
    <w:nsid w:val="D2683325"/>
    <w:multiLevelType w:val="singleLevel"/>
    <w:tmpl w:val="D2683325"/>
    <w:lvl w:ilvl="0" w:tentative="0">
      <w:start w:val="3"/>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1Yjk0MWE0ZjA2ZTU2NmQyN2NiZmE1ZTBkMGY2MWUifQ=="/>
  </w:docVars>
  <w:rsids>
    <w:rsidRoot w:val="00172A27"/>
    <w:rsid w:val="00045095"/>
    <w:rsid w:val="000A3658"/>
    <w:rsid w:val="00172A27"/>
    <w:rsid w:val="0028280A"/>
    <w:rsid w:val="002A4F56"/>
    <w:rsid w:val="00364AD4"/>
    <w:rsid w:val="00371C5A"/>
    <w:rsid w:val="004134D9"/>
    <w:rsid w:val="00821D2B"/>
    <w:rsid w:val="00B0498D"/>
    <w:rsid w:val="00C11696"/>
    <w:rsid w:val="00C13861"/>
    <w:rsid w:val="00D576E4"/>
    <w:rsid w:val="00DE4BE5"/>
    <w:rsid w:val="00DF58D4"/>
    <w:rsid w:val="00F923F9"/>
    <w:rsid w:val="01C901A1"/>
    <w:rsid w:val="021A3740"/>
    <w:rsid w:val="02467912"/>
    <w:rsid w:val="02693733"/>
    <w:rsid w:val="02912BEC"/>
    <w:rsid w:val="04AA54A1"/>
    <w:rsid w:val="04FB7680"/>
    <w:rsid w:val="053A3164"/>
    <w:rsid w:val="074402CA"/>
    <w:rsid w:val="08ED2854"/>
    <w:rsid w:val="09615163"/>
    <w:rsid w:val="0A3F1B1B"/>
    <w:rsid w:val="0B193467"/>
    <w:rsid w:val="0BE341F2"/>
    <w:rsid w:val="0C952804"/>
    <w:rsid w:val="1001302C"/>
    <w:rsid w:val="109C2F25"/>
    <w:rsid w:val="10C444E9"/>
    <w:rsid w:val="10FB0EEF"/>
    <w:rsid w:val="152930B5"/>
    <w:rsid w:val="172D2B29"/>
    <w:rsid w:val="196A7602"/>
    <w:rsid w:val="1A163D48"/>
    <w:rsid w:val="1A4563DB"/>
    <w:rsid w:val="1A516B2E"/>
    <w:rsid w:val="1AAC1698"/>
    <w:rsid w:val="1ABB3C36"/>
    <w:rsid w:val="1CA47E81"/>
    <w:rsid w:val="1DF35965"/>
    <w:rsid w:val="1E34475E"/>
    <w:rsid w:val="1E96595F"/>
    <w:rsid w:val="1EA77F37"/>
    <w:rsid w:val="204D0F46"/>
    <w:rsid w:val="20D12411"/>
    <w:rsid w:val="226A61B0"/>
    <w:rsid w:val="227315D1"/>
    <w:rsid w:val="22FF35CB"/>
    <w:rsid w:val="24134E54"/>
    <w:rsid w:val="249E6D8D"/>
    <w:rsid w:val="26692F9C"/>
    <w:rsid w:val="2675172F"/>
    <w:rsid w:val="27550B20"/>
    <w:rsid w:val="27850FEB"/>
    <w:rsid w:val="27B506FD"/>
    <w:rsid w:val="27D96DE3"/>
    <w:rsid w:val="2A3E27A2"/>
    <w:rsid w:val="2C322AF6"/>
    <w:rsid w:val="2C66553C"/>
    <w:rsid w:val="2D4B2309"/>
    <w:rsid w:val="2E5B3DBF"/>
    <w:rsid w:val="2F522CD5"/>
    <w:rsid w:val="30271214"/>
    <w:rsid w:val="319E404D"/>
    <w:rsid w:val="32BD27D6"/>
    <w:rsid w:val="32BE1105"/>
    <w:rsid w:val="32E41096"/>
    <w:rsid w:val="331E1089"/>
    <w:rsid w:val="34BA37F6"/>
    <w:rsid w:val="389E48A6"/>
    <w:rsid w:val="38EA21D0"/>
    <w:rsid w:val="38F117B0"/>
    <w:rsid w:val="39E4650C"/>
    <w:rsid w:val="3AAC0083"/>
    <w:rsid w:val="3C7C5F3B"/>
    <w:rsid w:val="3DFC0A8C"/>
    <w:rsid w:val="3E821842"/>
    <w:rsid w:val="4252039D"/>
    <w:rsid w:val="43B35E32"/>
    <w:rsid w:val="442869F9"/>
    <w:rsid w:val="443B5BBB"/>
    <w:rsid w:val="45A9729F"/>
    <w:rsid w:val="467D4684"/>
    <w:rsid w:val="4715598F"/>
    <w:rsid w:val="4AF0127D"/>
    <w:rsid w:val="4AFF1EB1"/>
    <w:rsid w:val="4EDB463D"/>
    <w:rsid w:val="4FE74DC9"/>
    <w:rsid w:val="503D2C09"/>
    <w:rsid w:val="521E7171"/>
    <w:rsid w:val="5397282A"/>
    <w:rsid w:val="53CC6117"/>
    <w:rsid w:val="54410CAC"/>
    <w:rsid w:val="56950233"/>
    <w:rsid w:val="56F922FC"/>
    <w:rsid w:val="5760060E"/>
    <w:rsid w:val="57770C7B"/>
    <w:rsid w:val="585A2170"/>
    <w:rsid w:val="587A4999"/>
    <w:rsid w:val="59356AD9"/>
    <w:rsid w:val="59A41605"/>
    <w:rsid w:val="5A5A1222"/>
    <w:rsid w:val="5B8F75BC"/>
    <w:rsid w:val="5BCF1086"/>
    <w:rsid w:val="5D0460D0"/>
    <w:rsid w:val="5DAC5E5F"/>
    <w:rsid w:val="5DFB41B8"/>
    <w:rsid w:val="5E2E436F"/>
    <w:rsid w:val="5E565A8E"/>
    <w:rsid w:val="5EB804F7"/>
    <w:rsid w:val="5F607E16"/>
    <w:rsid w:val="5F677D58"/>
    <w:rsid w:val="60BA0101"/>
    <w:rsid w:val="62263F75"/>
    <w:rsid w:val="643A375C"/>
    <w:rsid w:val="65E627F7"/>
    <w:rsid w:val="66CD02B1"/>
    <w:rsid w:val="68FB5BB0"/>
    <w:rsid w:val="69AB3F71"/>
    <w:rsid w:val="6A975E1E"/>
    <w:rsid w:val="6B79280B"/>
    <w:rsid w:val="6BF63CD3"/>
    <w:rsid w:val="6D713DD1"/>
    <w:rsid w:val="6DBE0F5A"/>
    <w:rsid w:val="701E34B3"/>
    <w:rsid w:val="7092012E"/>
    <w:rsid w:val="70A43C80"/>
    <w:rsid w:val="727662A7"/>
    <w:rsid w:val="72A53A36"/>
    <w:rsid w:val="73C744A6"/>
    <w:rsid w:val="73FF670B"/>
    <w:rsid w:val="753C7334"/>
    <w:rsid w:val="78104AA8"/>
    <w:rsid w:val="784F737E"/>
    <w:rsid w:val="78D855C6"/>
    <w:rsid w:val="79FD2A84"/>
    <w:rsid w:val="7AFD2358"/>
    <w:rsid w:val="7B0A3E91"/>
    <w:rsid w:val="7B220139"/>
    <w:rsid w:val="7B9F2B75"/>
    <w:rsid w:val="7CE00EED"/>
    <w:rsid w:val="7D2232B3"/>
    <w:rsid w:val="7E2C0E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eastAsia="宋体" w:asciiTheme="minorHAnsi" w:hAnsiTheme="minorHAnsi" w:cstheme="minorBidi"/>
      <w:kern w:val="2"/>
      <w:sz w:val="28"/>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32"/>
    </w:rPr>
  </w:style>
  <w:style w:type="paragraph" w:styleId="3">
    <w:name w:val="heading 2"/>
    <w:basedOn w:val="1"/>
    <w:next w:val="1"/>
    <w:unhideWhenUsed/>
    <w:qFormat/>
    <w:uiPriority w:val="0"/>
    <w:pPr>
      <w:keepNext/>
      <w:keepLines/>
      <w:spacing w:line="413" w:lineRule="auto"/>
      <w:outlineLvl w:val="1"/>
    </w:pPr>
    <w:rPr>
      <w:rFonts w:ascii="Arial" w:hAnsi="Arial"/>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en-US" w:eastAsia="zh-CN" w:bidi="ar-SA"/>
    </w:r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Body text|1"/>
    <w:basedOn w:val="1"/>
    <w:qFormat/>
    <w:uiPriority w:val="0"/>
    <w:pPr>
      <w:spacing w:line="391" w:lineRule="auto"/>
      <w:ind w:firstLine="400"/>
    </w:pPr>
    <w:rPr>
      <w:rFonts w:ascii="宋体" w:hAnsi="宋体" w:cs="宋体"/>
      <w:sz w:val="30"/>
      <w:szCs w:val="30"/>
      <w:lang w:val="zh-TW" w:eastAsia="zh-TW" w:bidi="zh-TW"/>
    </w:rPr>
  </w:style>
  <w:style w:type="paragraph" w:customStyle="1" w:styleId="11">
    <w:name w:val="WPSOffice手动目录 1"/>
    <w:qFormat/>
    <w:uiPriority w:val="0"/>
    <w:rPr>
      <w:rFonts w:asciiTheme="minorHAnsi" w:hAnsiTheme="minorHAnsi" w:eastAsiaTheme="minorEastAsia" w:cstheme="minorBidi"/>
      <w:lang w:val="en-US" w:eastAsia="zh-CN" w:bidi="ar-SA"/>
    </w:rPr>
  </w:style>
  <w:style w:type="paragraph" w:customStyle="1" w:styleId="12">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13">
    <w:name w:val="Table Paragraph"/>
    <w:basedOn w:val="1"/>
    <w:unhideWhenUsed/>
    <w:qFormat/>
    <w:uiPriority w:val="1"/>
    <w:rPr>
      <w:rFonts w:hint="eastAsia"/>
      <w:sz w:val="22"/>
      <w:szCs w:val="22"/>
    </w:rPr>
  </w:style>
  <w:style w:type="character" w:customStyle="1" w:styleId="14">
    <w:name w:val="批注框文本 Char"/>
    <w:basedOn w:val="9"/>
    <w:link w:val="5"/>
    <w:qFormat/>
    <w:uiPriority w:val="0"/>
    <w:rPr>
      <w:rFonts w:eastAsia="宋体"/>
      <w:kern w:val="2"/>
      <w:sz w:val="18"/>
      <w:szCs w:val="18"/>
    </w:rPr>
  </w:style>
  <w:style w:type="character" w:customStyle="1" w:styleId="15">
    <w:name w:val="font31"/>
    <w:basedOn w:val="9"/>
    <w:qFormat/>
    <w:uiPriority w:val="0"/>
    <w:rPr>
      <w:rFonts w:hint="eastAsia" w:ascii="宋体" w:hAnsi="宋体" w:eastAsia="宋体" w:cs="宋体"/>
      <w:color w:val="000000"/>
      <w:sz w:val="20"/>
      <w:szCs w:val="20"/>
      <w:u w:val="none"/>
    </w:rPr>
  </w:style>
  <w:style w:type="character" w:customStyle="1" w:styleId="16">
    <w:name w:val="font0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7608</Words>
  <Characters>8159</Characters>
  <Lines>126</Lines>
  <Paragraphs>35</Paragraphs>
  <TotalTime>72</TotalTime>
  <ScaleCrop>false</ScaleCrop>
  <LinksUpToDate>false</LinksUpToDate>
  <CharactersWithSpaces>8306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2021-07-16T01:00:00Z</dcterms:created>
  <dc:creator>vivian</dc:creator>
  <cp:lastModifiedBy>星</cp:lastModifiedBy>
  <cp:lastPrinted>2021-08-26T08:33:00Z</cp:lastPrinted>
  <dcterms:modified xsi:type="dcterms:W3CDTF">2022-09-28T07:22:34Z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BB38C916E5804A9C90D5CB09F5DF3D8E</vt:lpwstr>
  </property>
</Properties>
</file>