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宋体" w:hAnsi="宋体" w:cs="宋体"/>
          <w:sz w:val="52"/>
          <w:szCs w:val="52"/>
        </w:rPr>
      </w:pPr>
    </w:p>
    <w:p>
      <w:pPr>
        <w:ind w:firstLine="0" w:firstLineChars="0"/>
        <w:jc w:val="center"/>
        <w:rPr>
          <w:rFonts w:ascii="宋体" w:hAnsi="宋体" w:cs="宋体"/>
          <w:sz w:val="52"/>
          <w:szCs w:val="52"/>
        </w:rPr>
      </w:pPr>
    </w:p>
    <w:p>
      <w:pPr>
        <w:ind w:firstLine="0" w:firstLineChars="0"/>
        <w:jc w:val="center"/>
        <w:rPr>
          <w:rFonts w:ascii="宋体" w:hAnsi="宋体" w:cs="宋体"/>
          <w:sz w:val="52"/>
          <w:szCs w:val="52"/>
        </w:rPr>
      </w:pPr>
    </w:p>
    <w:p>
      <w:pPr>
        <w:ind w:firstLine="0" w:firstLineChars="0"/>
        <w:jc w:val="center"/>
        <w:rPr>
          <w:rFonts w:ascii="宋体" w:hAnsi="宋体" w:cs="宋体"/>
          <w:sz w:val="52"/>
          <w:szCs w:val="52"/>
        </w:rPr>
      </w:pPr>
      <w:r>
        <w:rPr>
          <w:rFonts w:hint="eastAsia" w:ascii="方正小标宋_GBK" w:hAnsi="宋体" w:eastAsia="方正小标宋_GBK" w:cs="宋体"/>
          <w:sz w:val="52"/>
          <w:szCs w:val="52"/>
        </w:rPr>
        <w:t>连云港市建设工程质量监督站</w:t>
      </w:r>
    </w:p>
    <w:p>
      <w:pPr>
        <w:ind w:firstLine="0" w:firstLineChars="0"/>
        <w:jc w:val="center"/>
        <w:rPr>
          <w:rFonts w:ascii="方正小标宋_GBK" w:hAnsi="宋体" w:eastAsia="方正小标宋_GBK" w:cs="宋体"/>
          <w:sz w:val="52"/>
          <w:szCs w:val="52"/>
        </w:rPr>
      </w:pPr>
      <w:r>
        <w:rPr>
          <w:rFonts w:hint="eastAsia" w:ascii="方正小标宋_GBK" w:hAnsi="宋体" w:eastAsia="方正小标宋_GBK" w:cs="宋体"/>
          <w:sz w:val="52"/>
          <w:szCs w:val="52"/>
        </w:rPr>
        <w:t>整体绩效评价报告</w:t>
      </w:r>
    </w:p>
    <w:p>
      <w:pPr>
        <w:ind w:firstLine="0" w:firstLineChars="0"/>
        <w:jc w:val="center"/>
        <w:rPr>
          <w:rFonts w:ascii="宋体" w:hAnsi="宋体" w:cs="宋体"/>
          <w:sz w:val="52"/>
          <w:szCs w:val="52"/>
        </w:rPr>
      </w:pPr>
    </w:p>
    <w:p>
      <w:pPr>
        <w:ind w:firstLine="0" w:firstLineChars="0"/>
        <w:jc w:val="center"/>
        <w:rPr>
          <w:rFonts w:ascii="宋体" w:hAnsi="宋体" w:cs="宋体"/>
          <w:sz w:val="52"/>
          <w:szCs w:val="52"/>
        </w:rPr>
      </w:pPr>
    </w:p>
    <w:p>
      <w:pPr>
        <w:ind w:firstLine="1040"/>
        <w:jc w:val="center"/>
        <w:rPr>
          <w:rFonts w:ascii="宋体" w:hAnsi="宋体" w:cs="宋体"/>
          <w:sz w:val="52"/>
          <w:szCs w:val="52"/>
        </w:rPr>
      </w:pPr>
    </w:p>
    <w:p>
      <w:pPr>
        <w:ind w:firstLine="1040"/>
        <w:jc w:val="center"/>
        <w:rPr>
          <w:rFonts w:ascii="宋体" w:hAnsi="宋体" w:cs="宋体"/>
          <w:sz w:val="52"/>
          <w:szCs w:val="52"/>
        </w:rPr>
      </w:pPr>
    </w:p>
    <w:p>
      <w:pPr>
        <w:ind w:firstLine="1040"/>
        <w:rPr>
          <w:rFonts w:ascii="宋体" w:hAnsi="宋体" w:cs="宋体"/>
          <w:sz w:val="52"/>
          <w:szCs w:val="52"/>
        </w:rPr>
      </w:pPr>
    </w:p>
    <w:p>
      <w:pPr>
        <w:ind w:firstLine="1040"/>
        <w:rPr>
          <w:rFonts w:ascii="宋体" w:hAnsi="宋体" w:cs="宋体"/>
          <w:sz w:val="52"/>
          <w:szCs w:val="52"/>
        </w:rPr>
      </w:pPr>
    </w:p>
    <w:p>
      <w:pPr>
        <w:ind w:firstLine="1040"/>
        <w:rPr>
          <w:rFonts w:ascii="宋体" w:hAnsi="宋体" w:cs="宋体"/>
          <w:sz w:val="52"/>
          <w:szCs w:val="52"/>
        </w:rPr>
      </w:pPr>
    </w:p>
    <w:p>
      <w:pPr>
        <w:ind w:firstLine="0" w:firstLineChars="0"/>
        <w:jc w:val="right"/>
        <w:rPr>
          <w:rFonts w:hint="eastAsia"/>
          <w:szCs w:val="28"/>
        </w:rPr>
      </w:pPr>
      <w:r>
        <w:rPr>
          <w:rFonts w:hint="eastAsia"/>
          <w:szCs w:val="28"/>
        </w:rPr>
        <w:t>评价单位：连云港市建设工程质量监督站</w:t>
      </w:r>
    </w:p>
    <w:p>
      <w:pPr>
        <w:ind w:firstLine="0" w:firstLineChars="0"/>
        <w:jc w:val="right"/>
      </w:pPr>
      <w:r>
        <w:rPr>
          <w:rFonts w:hint="eastAsia"/>
          <w:szCs w:val="28"/>
        </w:rPr>
        <w:t>报告时间：二零二</w:t>
      </w:r>
      <w:r>
        <w:rPr>
          <w:rFonts w:hint="eastAsia"/>
          <w:szCs w:val="28"/>
          <w:lang w:val="en-US" w:eastAsia="zh-CN"/>
        </w:rPr>
        <w:t>二</w:t>
      </w:r>
      <w:r>
        <w:rPr>
          <w:rFonts w:hint="eastAsia"/>
          <w:szCs w:val="28"/>
        </w:rPr>
        <w:t>年</w:t>
      </w:r>
      <w:r>
        <w:rPr>
          <w:rFonts w:hint="eastAsia"/>
          <w:szCs w:val="28"/>
          <w:lang w:val="en-US" w:eastAsia="zh-CN"/>
        </w:rPr>
        <w:t>九</w:t>
      </w:r>
      <w:r>
        <w:rPr>
          <w:rFonts w:hint="eastAsia"/>
          <w:szCs w:val="28"/>
        </w:rPr>
        <w:t>月</w:t>
      </w:r>
    </w:p>
    <w:p>
      <w:pPr>
        <w:ind w:firstLine="560"/>
        <w:jc w:val="right"/>
      </w:pPr>
    </w:p>
    <w:p>
      <w:pPr>
        <w:ind w:firstLine="560"/>
        <w:jc w:val="right"/>
        <w:sectPr>
          <w:pgSz w:w="11906" w:h="16838"/>
          <w:pgMar w:top="1440" w:right="1800" w:bottom="1440" w:left="1800" w:header="851" w:footer="992" w:gutter="0"/>
          <w:pgNumType w:start="1"/>
          <w:cols w:space="425" w:num="1"/>
          <w:docGrid w:type="lines" w:linePitch="312" w:charSpace="0"/>
        </w:sectPr>
      </w:pPr>
    </w:p>
    <w:p>
      <w:pPr>
        <w:ind w:firstLine="0" w:firstLineChars="0"/>
        <w:rPr>
          <w:b/>
          <w:sz w:val="32"/>
          <w:szCs w:val="32"/>
        </w:rPr>
      </w:pPr>
      <w:r>
        <w:rPr>
          <w:rFonts w:hint="eastAsia"/>
          <w:b/>
          <w:sz w:val="32"/>
          <w:szCs w:val="32"/>
        </w:rPr>
        <w:t xml:space="preserve">评价小组 </w:t>
      </w:r>
    </w:p>
    <w:p>
      <w:pPr>
        <w:ind w:firstLine="0" w:firstLineChars="0"/>
        <w:rPr>
          <w:sz w:val="32"/>
          <w:szCs w:val="32"/>
        </w:rPr>
      </w:pPr>
      <w:r>
        <w:rPr>
          <w:rFonts w:hint="eastAsia"/>
          <w:sz w:val="32"/>
          <w:szCs w:val="32"/>
        </w:rPr>
        <w:t>组  长：</w:t>
      </w:r>
    </w:p>
    <w:p>
      <w:pPr>
        <w:ind w:firstLine="0" w:firstLineChars="0"/>
        <w:rPr>
          <w:rFonts w:hint="eastAsia"/>
          <w:sz w:val="32"/>
          <w:szCs w:val="32"/>
        </w:rPr>
      </w:pPr>
      <w:r>
        <w:rPr>
          <w:rFonts w:hint="eastAsia"/>
          <w:sz w:val="32"/>
          <w:szCs w:val="32"/>
        </w:rPr>
        <w:t>副组长：</w:t>
      </w:r>
    </w:p>
    <w:p>
      <w:pPr>
        <w:ind w:firstLine="0" w:firstLineChars="0"/>
        <w:rPr>
          <w:rFonts w:hint="eastAsia"/>
          <w:sz w:val="32"/>
          <w:szCs w:val="32"/>
        </w:rPr>
      </w:pPr>
      <w:r>
        <w:rPr>
          <w:sz w:val="32"/>
          <w:szCs w:val="32"/>
        </w:rPr>
        <w:t>成</w:t>
      </w:r>
      <w:r>
        <w:rPr>
          <w:rFonts w:hint="eastAsia"/>
          <w:sz w:val="32"/>
          <w:szCs w:val="32"/>
        </w:rPr>
        <w:t xml:space="preserve">  </w:t>
      </w:r>
      <w:r>
        <w:rPr>
          <w:sz w:val="32"/>
          <w:szCs w:val="32"/>
        </w:rPr>
        <w:t>员</w:t>
      </w:r>
      <w:r>
        <w:rPr>
          <w:rFonts w:hint="eastAsia"/>
          <w:sz w:val="32"/>
          <w:szCs w:val="32"/>
        </w:rPr>
        <w:t>：</w:t>
      </w:r>
    </w:p>
    <w:p>
      <w:pPr>
        <w:ind w:firstLine="1280" w:firstLineChars="400"/>
        <w:rPr>
          <w:rFonts w:hint="eastAsia"/>
          <w:sz w:val="32"/>
          <w:szCs w:val="32"/>
        </w:rPr>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560"/>
      </w:pPr>
    </w:p>
    <w:p>
      <w:pPr>
        <w:ind w:firstLine="0" w:firstLineChars="0"/>
        <w:jc w:val="center"/>
        <w:rPr>
          <w:rFonts w:ascii="宋体" w:hAnsi="宋体"/>
          <w:sz w:val="52"/>
          <w:szCs w:val="52"/>
        </w:rPr>
        <w:sectPr>
          <w:footerReference r:id="rId5" w:type="default"/>
          <w:pgSz w:w="11906" w:h="16838"/>
          <w:pgMar w:top="1440" w:right="1800" w:bottom="1440" w:left="1800" w:header="851" w:footer="992" w:gutter="0"/>
          <w:cols w:space="425" w:num="1"/>
          <w:docGrid w:type="lines" w:linePitch="312" w:charSpace="0"/>
        </w:sectPr>
      </w:pPr>
    </w:p>
    <w:sdt>
      <w:sdtPr>
        <w:rPr>
          <w:rFonts w:ascii="宋体" w:hAnsi="宋体"/>
          <w:sz w:val="52"/>
          <w:szCs w:val="52"/>
        </w:rPr>
        <w:id w:val="147459091"/>
        <w:docPartObj>
          <w:docPartGallery w:val="Table of Contents"/>
          <w:docPartUnique/>
        </w:docPartObj>
      </w:sdtPr>
      <w:sdtEndPr>
        <w:rPr>
          <w:rFonts w:ascii="宋体" w:hAnsi="宋体"/>
          <w:b/>
          <w:sz w:val="52"/>
          <w:szCs w:val="52"/>
        </w:rPr>
      </w:sdtEndPr>
      <w:sdtContent>
        <w:p>
          <w:pPr>
            <w:ind w:firstLine="0" w:firstLineChars="0"/>
            <w:jc w:val="center"/>
            <w:rPr>
              <w:sz w:val="32"/>
              <w:szCs w:val="32"/>
            </w:rPr>
          </w:pPr>
          <w:r>
            <w:rPr>
              <w:rFonts w:ascii="宋体" w:hAnsi="宋体"/>
              <w:sz w:val="32"/>
              <w:szCs w:val="32"/>
            </w:rPr>
            <w:t>目录</w:t>
          </w:r>
        </w:p>
        <w:p>
          <w:pPr>
            <w:pStyle w:val="10"/>
            <w:tabs>
              <w:tab w:val="right" w:leader="dot" w:pos="8306"/>
            </w:tabs>
            <w:rPr>
              <w:b/>
            </w:rPr>
          </w:pPr>
          <w:r>
            <w:fldChar w:fldCharType="begin"/>
          </w:r>
          <w:r>
            <w:instrText xml:space="preserve">TOC \o "1-2" \h \u </w:instrText>
          </w:r>
          <w:r>
            <w:fldChar w:fldCharType="separate"/>
          </w:r>
          <w:r>
            <w:fldChar w:fldCharType="begin"/>
          </w:r>
          <w:r>
            <w:instrText xml:space="preserve"> HYPERLINK \l "_Toc4257" </w:instrText>
          </w:r>
          <w:r>
            <w:fldChar w:fldCharType="separate"/>
          </w:r>
          <w:r>
            <w:rPr>
              <w:rFonts w:hint="eastAsia"/>
              <w:b/>
              <w:sz w:val="28"/>
              <w:szCs w:val="28"/>
            </w:rPr>
            <w:t>1、引言</w:t>
          </w:r>
          <w:r>
            <w:rPr>
              <w:b/>
              <w:sz w:val="28"/>
              <w:szCs w:val="28"/>
            </w:rPr>
            <w:tab/>
          </w:r>
          <w:r>
            <w:rPr>
              <w:rFonts w:hint="eastAsia"/>
              <w:b/>
              <w:sz w:val="28"/>
              <w:szCs w:val="28"/>
              <w:lang w:val="en-US" w:eastAsia="zh-CN"/>
            </w:rPr>
            <w:t>1</w:t>
          </w:r>
          <w:r>
            <w:rPr>
              <w:rFonts w:hint="eastAsia"/>
              <w:b/>
              <w:sz w:val="28"/>
              <w:szCs w:val="28"/>
            </w:rPr>
            <w:fldChar w:fldCharType="end"/>
          </w:r>
        </w:p>
        <w:p>
          <w:pPr>
            <w:pStyle w:val="11"/>
            <w:tabs>
              <w:tab w:val="right" w:leader="dot" w:pos="8306"/>
            </w:tabs>
            <w:ind w:left="560"/>
            <w:rPr>
              <w:sz w:val="28"/>
              <w:szCs w:val="28"/>
            </w:rPr>
          </w:pPr>
          <w:r>
            <w:fldChar w:fldCharType="begin"/>
          </w:r>
          <w:r>
            <w:instrText xml:space="preserve"> HYPERLINK \l "_Toc32450" </w:instrText>
          </w:r>
          <w:r>
            <w:fldChar w:fldCharType="separate"/>
          </w:r>
          <w:r>
            <w:rPr>
              <w:rFonts w:hint="eastAsia"/>
              <w:sz w:val="28"/>
              <w:szCs w:val="28"/>
            </w:rPr>
            <w:t>1.1、部门职责概述</w:t>
          </w:r>
          <w:r>
            <w:rPr>
              <w:sz w:val="28"/>
              <w:szCs w:val="28"/>
            </w:rPr>
            <w:tab/>
          </w:r>
          <w:r>
            <w:rPr>
              <w:sz w:val="28"/>
              <w:szCs w:val="28"/>
            </w:rPr>
            <w:fldChar w:fldCharType="begin"/>
          </w:r>
          <w:r>
            <w:rPr>
              <w:sz w:val="28"/>
              <w:szCs w:val="28"/>
            </w:rPr>
            <w:instrText xml:space="preserve"> PAGEREF _Toc32450 \h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11"/>
            <w:tabs>
              <w:tab w:val="right" w:leader="dot" w:pos="8306"/>
            </w:tabs>
            <w:ind w:left="560"/>
            <w:rPr>
              <w:sz w:val="28"/>
              <w:szCs w:val="28"/>
            </w:rPr>
          </w:pPr>
          <w:r>
            <w:fldChar w:fldCharType="begin"/>
          </w:r>
          <w:r>
            <w:instrText xml:space="preserve"> HYPERLINK \l "_Toc30388" </w:instrText>
          </w:r>
          <w:r>
            <w:fldChar w:fldCharType="separate"/>
          </w:r>
          <w:r>
            <w:rPr>
              <w:rFonts w:hint="eastAsia"/>
              <w:sz w:val="28"/>
              <w:szCs w:val="28"/>
            </w:rPr>
            <w:t>1.2、部门收支描述</w:t>
          </w:r>
          <w:r>
            <w:rPr>
              <w:sz w:val="28"/>
              <w:szCs w:val="28"/>
            </w:rPr>
            <w:tab/>
          </w:r>
          <w:r>
            <w:rPr>
              <w:sz w:val="28"/>
              <w:szCs w:val="28"/>
            </w:rPr>
            <w:fldChar w:fldCharType="begin"/>
          </w:r>
          <w:r>
            <w:rPr>
              <w:sz w:val="28"/>
              <w:szCs w:val="28"/>
            </w:rPr>
            <w:instrText xml:space="preserve"> PAGEREF _Toc30388 \h </w:instrText>
          </w:r>
          <w:r>
            <w:rPr>
              <w:sz w:val="28"/>
              <w:szCs w:val="28"/>
            </w:rPr>
            <w:fldChar w:fldCharType="separate"/>
          </w:r>
          <w:r>
            <w:rPr>
              <w:sz w:val="28"/>
              <w:szCs w:val="28"/>
            </w:rPr>
            <w:t>2</w:t>
          </w:r>
          <w:r>
            <w:rPr>
              <w:sz w:val="28"/>
              <w:szCs w:val="28"/>
            </w:rPr>
            <w:fldChar w:fldCharType="end"/>
          </w:r>
          <w:r>
            <w:rPr>
              <w:sz w:val="28"/>
              <w:szCs w:val="28"/>
            </w:rPr>
            <w:fldChar w:fldCharType="end"/>
          </w:r>
        </w:p>
        <w:p>
          <w:pPr>
            <w:pStyle w:val="11"/>
            <w:tabs>
              <w:tab w:val="right" w:leader="dot" w:pos="8306"/>
            </w:tabs>
            <w:ind w:left="560"/>
            <w:rPr>
              <w:sz w:val="28"/>
              <w:szCs w:val="28"/>
            </w:rPr>
          </w:pPr>
          <w:r>
            <w:fldChar w:fldCharType="begin"/>
          </w:r>
          <w:r>
            <w:instrText xml:space="preserve"> HYPERLINK \l "_Toc6798" </w:instrText>
          </w:r>
          <w:r>
            <w:fldChar w:fldCharType="separate"/>
          </w:r>
          <w:r>
            <w:rPr>
              <w:rFonts w:hint="eastAsia"/>
              <w:sz w:val="28"/>
              <w:szCs w:val="28"/>
            </w:rPr>
            <w:t>1.3、部门项目实施情况</w:t>
          </w:r>
          <w:r>
            <w:rPr>
              <w:sz w:val="28"/>
              <w:szCs w:val="28"/>
            </w:rPr>
            <w:tab/>
          </w:r>
          <w:r>
            <w:rPr>
              <w:sz w:val="28"/>
              <w:szCs w:val="28"/>
            </w:rPr>
            <w:fldChar w:fldCharType="begin"/>
          </w:r>
          <w:r>
            <w:rPr>
              <w:sz w:val="28"/>
              <w:szCs w:val="28"/>
            </w:rPr>
            <w:instrText xml:space="preserve"> PAGEREF _Toc6798 \h </w:instrText>
          </w:r>
          <w:r>
            <w:rPr>
              <w:sz w:val="28"/>
              <w:szCs w:val="28"/>
            </w:rPr>
            <w:fldChar w:fldCharType="separate"/>
          </w:r>
          <w:r>
            <w:rPr>
              <w:sz w:val="28"/>
              <w:szCs w:val="28"/>
            </w:rPr>
            <w:t>3</w:t>
          </w:r>
          <w:r>
            <w:rPr>
              <w:sz w:val="28"/>
              <w:szCs w:val="28"/>
            </w:rPr>
            <w:fldChar w:fldCharType="end"/>
          </w:r>
          <w:r>
            <w:rPr>
              <w:sz w:val="28"/>
              <w:szCs w:val="28"/>
            </w:rPr>
            <w:fldChar w:fldCharType="end"/>
          </w:r>
        </w:p>
        <w:p>
          <w:pPr>
            <w:pStyle w:val="10"/>
            <w:tabs>
              <w:tab w:val="right" w:leader="dot" w:pos="8306"/>
            </w:tabs>
            <w:rPr>
              <w:rFonts w:hint="eastAsia" w:eastAsiaTheme="minorEastAsia"/>
              <w:b/>
              <w:sz w:val="28"/>
              <w:szCs w:val="28"/>
              <w:lang w:val="en-US" w:eastAsia="zh-CN"/>
            </w:rPr>
          </w:pPr>
          <w:r>
            <w:fldChar w:fldCharType="begin"/>
          </w:r>
          <w:r>
            <w:instrText xml:space="preserve"> HYPERLINK \l "_Toc21468" </w:instrText>
          </w:r>
          <w:r>
            <w:fldChar w:fldCharType="separate"/>
          </w:r>
          <w:r>
            <w:rPr>
              <w:rFonts w:hint="eastAsia"/>
              <w:b/>
              <w:sz w:val="28"/>
              <w:szCs w:val="28"/>
            </w:rPr>
            <w:t>2、绩效评价概述</w:t>
          </w:r>
          <w:r>
            <w:rPr>
              <w:b/>
              <w:sz w:val="28"/>
              <w:szCs w:val="28"/>
            </w:rPr>
            <w:tab/>
          </w:r>
          <w:r>
            <w:rPr>
              <w:b/>
              <w:sz w:val="28"/>
              <w:szCs w:val="28"/>
            </w:rPr>
            <w:fldChar w:fldCharType="end"/>
          </w:r>
          <w:r>
            <w:rPr>
              <w:rFonts w:hint="eastAsia"/>
              <w:b/>
              <w:sz w:val="28"/>
              <w:szCs w:val="28"/>
              <w:lang w:val="en-US" w:eastAsia="zh-CN"/>
            </w:rPr>
            <w:t>3</w:t>
          </w:r>
        </w:p>
        <w:p>
          <w:pPr>
            <w:pStyle w:val="11"/>
            <w:tabs>
              <w:tab w:val="right" w:leader="dot" w:pos="8306"/>
            </w:tabs>
            <w:ind w:left="560"/>
            <w:rPr>
              <w:rFonts w:hint="eastAsia" w:eastAsiaTheme="minorEastAsia"/>
              <w:sz w:val="28"/>
              <w:szCs w:val="28"/>
              <w:lang w:val="en-US" w:eastAsia="zh-CN"/>
            </w:rPr>
          </w:pPr>
          <w:r>
            <w:fldChar w:fldCharType="begin"/>
          </w:r>
          <w:r>
            <w:instrText xml:space="preserve"> HYPERLINK \l "_Toc8589" </w:instrText>
          </w:r>
          <w:r>
            <w:fldChar w:fldCharType="separate"/>
          </w:r>
          <w:r>
            <w:rPr>
              <w:rFonts w:hint="eastAsia"/>
              <w:sz w:val="28"/>
              <w:szCs w:val="28"/>
            </w:rPr>
            <w:t>2.1、绩效评价目的</w:t>
          </w:r>
          <w:r>
            <w:rPr>
              <w:sz w:val="28"/>
              <w:szCs w:val="28"/>
            </w:rPr>
            <w:tab/>
          </w:r>
          <w:r>
            <w:rPr>
              <w:sz w:val="28"/>
              <w:szCs w:val="28"/>
            </w:rPr>
            <w:fldChar w:fldCharType="end"/>
          </w:r>
          <w:r>
            <w:rPr>
              <w:rFonts w:hint="eastAsia"/>
              <w:sz w:val="28"/>
              <w:szCs w:val="28"/>
              <w:lang w:val="en-US" w:eastAsia="zh-CN"/>
            </w:rPr>
            <w:t>3</w:t>
          </w:r>
        </w:p>
        <w:p>
          <w:pPr>
            <w:pStyle w:val="11"/>
            <w:tabs>
              <w:tab w:val="right" w:leader="dot" w:pos="8306"/>
            </w:tabs>
            <w:ind w:left="560"/>
            <w:rPr>
              <w:sz w:val="28"/>
              <w:szCs w:val="28"/>
            </w:rPr>
          </w:pPr>
          <w:r>
            <w:fldChar w:fldCharType="begin"/>
          </w:r>
          <w:r>
            <w:instrText xml:space="preserve"> HYPERLINK \l "_Toc21273" </w:instrText>
          </w:r>
          <w:r>
            <w:fldChar w:fldCharType="separate"/>
          </w:r>
          <w:r>
            <w:rPr>
              <w:rFonts w:hint="eastAsia"/>
              <w:sz w:val="28"/>
              <w:szCs w:val="28"/>
            </w:rPr>
            <w:t>2.2、绩效评价实施过程</w:t>
          </w:r>
          <w:r>
            <w:rPr>
              <w:sz w:val="28"/>
              <w:szCs w:val="28"/>
            </w:rPr>
            <w:tab/>
          </w:r>
          <w:r>
            <w:rPr>
              <w:sz w:val="28"/>
              <w:szCs w:val="28"/>
            </w:rPr>
            <w:fldChar w:fldCharType="begin"/>
          </w:r>
          <w:r>
            <w:rPr>
              <w:sz w:val="28"/>
              <w:szCs w:val="28"/>
            </w:rPr>
            <w:instrText xml:space="preserve"> PAGEREF _Toc21273 \h </w:instrText>
          </w:r>
          <w:r>
            <w:rPr>
              <w:sz w:val="28"/>
              <w:szCs w:val="28"/>
            </w:rPr>
            <w:fldChar w:fldCharType="separate"/>
          </w:r>
          <w:r>
            <w:rPr>
              <w:sz w:val="28"/>
              <w:szCs w:val="28"/>
            </w:rPr>
            <w:t>3</w:t>
          </w:r>
          <w:r>
            <w:rPr>
              <w:sz w:val="28"/>
              <w:szCs w:val="28"/>
            </w:rPr>
            <w:fldChar w:fldCharType="end"/>
          </w:r>
          <w:r>
            <w:rPr>
              <w:sz w:val="28"/>
              <w:szCs w:val="28"/>
            </w:rPr>
            <w:fldChar w:fldCharType="end"/>
          </w:r>
        </w:p>
        <w:p>
          <w:pPr>
            <w:pStyle w:val="11"/>
            <w:tabs>
              <w:tab w:val="right" w:leader="dot" w:pos="8306"/>
            </w:tabs>
            <w:ind w:left="560"/>
            <w:rPr>
              <w:sz w:val="28"/>
              <w:szCs w:val="28"/>
            </w:rPr>
          </w:pPr>
          <w:r>
            <w:fldChar w:fldCharType="begin"/>
          </w:r>
          <w:r>
            <w:instrText xml:space="preserve"> HYPERLINK \l "_Toc6217" </w:instrText>
          </w:r>
          <w:r>
            <w:fldChar w:fldCharType="separate"/>
          </w:r>
          <w:r>
            <w:rPr>
              <w:rFonts w:hint="eastAsia"/>
              <w:sz w:val="28"/>
              <w:szCs w:val="28"/>
            </w:rPr>
            <w:t>2.3、绩效评价的局限性</w:t>
          </w:r>
          <w:r>
            <w:rPr>
              <w:sz w:val="28"/>
              <w:szCs w:val="28"/>
            </w:rPr>
            <w:tab/>
          </w:r>
          <w:r>
            <w:rPr>
              <w:sz w:val="28"/>
              <w:szCs w:val="28"/>
            </w:rPr>
            <w:fldChar w:fldCharType="begin"/>
          </w:r>
          <w:r>
            <w:rPr>
              <w:sz w:val="28"/>
              <w:szCs w:val="28"/>
            </w:rPr>
            <w:instrText xml:space="preserve"> PAGEREF _Toc6217 \h </w:instrText>
          </w:r>
          <w:r>
            <w:rPr>
              <w:sz w:val="28"/>
              <w:szCs w:val="28"/>
            </w:rPr>
            <w:fldChar w:fldCharType="separate"/>
          </w:r>
          <w:r>
            <w:rPr>
              <w:sz w:val="28"/>
              <w:szCs w:val="28"/>
            </w:rPr>
            <w:t>4</w:t>
          </w:r>
          <w:r>
            <w:rPr>
              <w:sz w:val="28"/>
              <w:szCs w:val="28"/>
            </w:rPr>
            <w:fldChar w:fldCharType="end"/>
          </w:r>
          <w:r>
            <w:rPr>
              <w:sz w:val="28"/>
              <w:szCs w:val="28"/>
            </w:rPr>
            <w:fldChar w:fldCharType="end"/>
          </w:r>
        </w:p>
        <w:p>
          <w:pPr>
            <w:pStyle w:val="10"/>
            <w:tabs>
              <w:tab w:val="right" w:leader="dot" w:pos="8306"/>
            </w:tabs>
            <w:rPr>
              <w:b/>
              <w:sz w:val="28"/>
              <w:szCs w:val="28"/>
            </w:rPr>
          </w:pPr>
          <w:r>
            <w:fldChar w:fldCharType="begin"/>
          </w:r>
          <w:r>
            <w:instrText xml:space="preserve"> HYPERLINK \l "_Toc32302" </w:instrText>
          </w:r>
          <w:r>
            <w:fldChar w:fldCharType="separate"/>
          </w:r>
          <w:r>
            <w:rPr>
              <w:rFonts w:hint="eastAsia"/>
              <w:b/>
              <w:sz w:val="28"/>
              <w:szCs w:val="28"/>
            </w:rPr>
            <w:t>3、部门整体绩效评价分析</w:t>
          </w:r>
          <w:r>
            <w:rPr>
              <w:b/>
              <w:sz w:val="28"/>
              <w:szCs w:val="28"/>
            </w:rPr>
            <w:tab/>
          </w:r>
          <w:r>
            <w:rPr>
              <w:b/>
              <w:sz w:val="28"/>
              <w:szCs w:val="28"/>
            </w:rPr>
            <w:fldChar w:fldCharType="begin"/>
          </w:r>
          <w:r>
            <w:rPr>
              <w:b/>
              <w:sz w:val="28"/>
              <w:szCs w:val="28"/>
            </w:rPr>
            <w:instrText xml:space="preserve"> PAGEREF _Toc32302 \h </w:instrText>
          </w:r>
          <w:r>
            <w:rPr>
              <w:b/>
              <w:sz w:val="28"/>
              <w:szCs w:val="28"/>
            </w:rPr>
            <w:fldChar w:fldCharType="separate"/>
          </w:r>
          <w:r>
            <w:rPr>
              <w:b/>
              <w:sz w:val="28"/>
              <w:szCs w:val="28"/>
            </w:rPr>
            <w:t>4</w:t>
          </w:r>
          <w:r>
            <w:rPr>
              <w:b/>
              <w:sz w:val="28"/>
              <w:szCs w:val="28"/>
            </w:rPr>
            <w:fldChar w:fldCharType="end"/>
          </w:r>
          <w:r>
            <w:rPr>
              <w:b/>
              <w:sz w:val="28"/>
              <w:szCs w:val="28"/>
            </w:rPr>
            <w:fldChar w:fldCharType="end"/>
          </w:r>
        </w:p>
        <w:p>
          <w:pPr>
            <w:pStyle w:val="11"/>
            <w:tabs>
              <w:tab w:val="right" w:leader="dot" w:pos="8306"/>
            </w:tabs>
            <w:ind w:left="560"/>
            <w:rPr>
              <w:sz w:val="28"/>
              <w:szCs w:val="28"/>
            </w:rPr>
          </w:pPr>
          <w:r>
            <w:fldChar w:fldCharType="begin"/>
          </w:r>
          <w:r>
            <w:instrText xml:space="preserve"> HYPERLINK \l "_Toc9044" </w:instrText>
          </w:r>
          <w:r>
            <w:fldChar w:fldCharType="separate"/>
          </w:r>
          <w:r>
            <w:rPr>
              <w:rFonts w:hint="eastAsia"/>
              <w:sz w:val="28"/>
              <w:szCs w:val="28"/>
            </w:rPr>
            <w:t>3.1、内部管理（各指标得分情况和绩效分析）</w:t>
          </w:r>
          <w:r>
            <w:rPr>
              <w:sz w:val="28"/>
              <w:szCs w:val="28"/>
            </w:rPr>
            <w:tab/>
          </w:r>
          <w:r>
            <w:rPr>
              <w:sz w:val="28"/>
              <w:szCs w:val="28"/>
            </w:rPr>
            <w:fldChar w:fldCharType="begin"/>
          </w:r>
          <w:r>
            <w:rPr>
              <w:sz w:val="28"/>
              <w:szCs w:val="28"/>
            </w:rPr>
            <w:instrText xml:space="preserve"> PAGEREF _Toc9044 \h </w:instrText>
          </w:r>
          <w:r>
            <w:rPr>
              <w:sz w:val="28"/>
              <w:szCs w:val="28"/>
            </w:rPr>
            <w:fldChar w:fldCharType="separate"/>
          </w:r>
          <w:r>
            <w:rPr>
              <w:sz w:val="28"/>
              <w:szCs w:val="28"/>
            </w:rPr>
            <w:t>4</w:t>
          </w:r>
          <w:r>
            <w:rPr>
              <w:sz w:val="28"/>
              <w:szCs w:val="28"/>
            </w:rPr>
            <w:fldChar w:fldCharType="end"/>
          </w:r>
          <w:r>
            <w:rPr>
              <w:sz w:val="28"/>
              <w:szCs w:val="28"/>
            </w:rPr>
            <w:fldChar w:fldCharType="end"/>
          </w:r>
        </w:p>
        <w:p>
          <w:pPr>
            <w:pStyle w:val="11"/>
            <w:tabs>
              <w:tab w:val="right" w:leader="dot" w:pos="8306"/>
            </w:tabs>
            <w:ind w:left="560"/>
            <w:rPr>
              <w:sz w:val="28"/>
              <w:szCs w:val="28"/>
            </w:rPr>
          </w:pPr>
          <w:r>
            <w:fldChar w:fldCharType="begin"/>
          </w:r>
          <w:r>
            <w:instrText xml:space="preserve"> HYPERLINK \l "_Toc2518" </w:instrText>
          </w:r>
          <w:r>
            <w:fldChar w:fldCharType="separate"/>
          </w:r>
          <w:r>
            <w:rPr>
              <w:rFonts w:hint="eastAsia"/>
              <w:sz w:val="28"/>
              <w:szCs w:val="28"/>
            </w:rPr>
            <w:t>3.2、部门履职（各指标得分情况和绩效分析）</w:t>
          </w:r>
          <w:r>
            <w:rPr>
              <w:sz w:val="28"/>
              <w:szCs w:val="28"/>
            </w:rPr>
            <w:tab/>
          </w:r>
          <w:r>
            <w:rPr>
              <w:sz w:val="28"/>
              <w:szCs w:val="28"/>
            </w:rPr>
            <w:fldChar w:fldCharType="begin"/>
          </w:r>
          <w:r>
            <w:rPr>
              <w:sz w:val="28"/>
              <w:szCs w:val="28"/>
            </w:rPr>
            <w:instrText xml:space="preserve"> PAGEREF _Toc2518 \h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10"/>
            <w:tabs>
              <w:tab w:val="right" w:leader="dot" w:pos="8306"/>
            </w:tabs>
            <w:rPr>
              <w:b/>
              <w:sz w:val="28"/>
              <w:szCs w:val="28"/>
            </w:rPr>
          </w:pPr>
          <w:r>
            <w:fldChar w:fldCharType="begin"/>
          </w:r>
          <w:r>
            <w:instrText xml:space="preserve"> HYPERLINK \l "_Toc1315" </w:instrText>
          </w:r>
          <w:r>
            <w:fldChar w:fldCharType="separate"/>
          </w:r>
          <w:r>
            <w:rPr>
              <w:rFonts w:hint="eastAsia"/>
              <w:b/>
              <w:sz w:val="28"/>
              <w:szCs w:val="28"/>
            </w:rPr>
            <w:t>4、需要说明事项</w:t>
          </w:r>
          <w:r>
            <w:rPr>
              <w:b/>
              <w:sz w:val="28"/>
              <w:szCs w:val="28"/>
            </w:rPr>
            <w:tab/>
          </w:r>
          <w:r>
            <w:rPr>
              <w:b/>
              <w:sz w:val="28"/>
              <w:szCs w:val="28"/>
            </w:rPr>
            <w:fldChar w:fldCharType="begin"/>
          </w:r>
          <w:r>
            <w:rPr>
              <w:b/>
              <w:sz w:val="28"/>
              <w:szCs w:val="28"/>
            </w:rPr>
            <w:instrText xml:space="preserve"> PAGEREF _Toc1315 \h </w:instrText>
          </w:r>
          <w:r>
            <w:rPr>
              <w:b/>
              <w:sz w:val="28"/>
              <w:szCs w:val="28"/>
            </w:rPr>
            <w:fldChar w:fldCharType="separate"/>
          </w:r>
          <w:r>
            <w:rPr>
              <w:b/>
              <w:sz w:val="28"/>
              <w:szCs w:val="28"/>
            </w:rPr>
            <w:t>12</w:t>
          </w:r>
          <w:r>
            <w:rPr>
              <w:b/>
              <w:sz w:val="28"/>
              <w:szCs w:val="28"/>
            </w:rPr>
            <w:fldChar w:fldCharType="end"/>
          </w:r>
          <w:r>
            <w:rPr>
              <w:b/>
              <w:sz w:val="28"/>
              <w:szCs w:val="28"/>
            </w:rPr>
            <w:fldChar w:fldCharType="end"/>
          </w:r>
        </w:p>
        <w:p>
          <w:pPr>
            <w:pStyle w:val="10"/>
            <w:tabs>
              <w:tab w:val="right" w:leader="dot" w:pos="8306"/>
            </w:tabs>
            <w:rPr>
              <w:b/>
              <w:sz w:val="28"/>
              <w:szCs w:val="28"/>
            </w:rPr>
          </w:pPr>
          <w:r>
            <w:fldChar w:fldCharType="begin"/>
          </w:r>
          <w:r>
            <w:instrText xml:space="preserve"> HYPERLINK \l "_Toc13490" </w:instrText>
          </w:r>
          <w:r>
            <w:fldChar w:fldCharType="separate"/>
          </w:r>
          <w:r>
            <w:rPr>
              <w:rFonts w:hint="eastAsia"/>
              <w:b/>
              <w:sz w:val="28"/>
              <w:szCs w:val="28"/>
            </w:rPr>
            <w:t>5、绩效评价结论</w:t>
          </w:r>
          <w:r>
            <w:rPr>
              <w:b/>
              <w:sz w:val="28"/>
              <w:szCs w:val="28"/>
            </w:rPr>
            <w:tab/>
          </w:r>
          <w:r>
            <w:rPr>
              <w:b/>
              <w:sz w:val="28"/>
              <w:szCs w:val="28"/>
            </w:rPr>
            <w:fldChar w:fldCharType="begin"/>
          </w:r>
          <w:r>
            <w:rPr>
              <w:b/>
              <w:sz w:val="28"/>
              <w:szCs w:val="28"/>
            </w:rPr>
            <w:instrText xml:space="preserve"> PAGEREF _Toc13490 \h </w:instrText>
          </w:r>
          <w:r>
            <w:rPr>
              <w:b/>
              <w:sz w:val="28"/>
              <w:szCs w:val="28"/>
            </w:rPr>
            <w:fldChar w:fldCharType="separate"/>
          </w:r>
          <w:r>
            <w:rPr>
              <w:b/>
              <w:sz w:val="28"/>
              <w:szCs w:val="28"/>
            </w:rPr>
            <w:t>12</w:t>
          </w:r>
          <w:r>
            <w:rPr>
              <w:b/>
              <w:sz w:val="28"/>
              <w:szCs w:val="28"/>
            </w:rPr>
            <w:fldChar w:fldCharType="end"/>
          </w:r>
          <w:r>
            <w:rPr>
              <w:b/>
              <w:sz w:val="28"/>
              <w:szCs w:val="28"/>
            </w:rPr>
            <w:fldChar w:fldCharType="end"/>
          </w:r>
        </w:p>
        <w:p>
          <w:pPr>
            <w:pStyle w:val="11"/>
            <w:tabs>
              <w:tab w:val="right" w:leader="dot" w:pos="8306"/>
            </w:tabs>
            <w:ind w:left="560"/>
            <w:rPr>
              <w:sz w:val="28"/>
              <w:szCs w:val="28"/>
            </w:rPr>
          </w:pPr>
          <w:r>
            <w:fldChar w:fldCharType="begin"/>
          </w:r>
          <w:r>
            <w:instrText xml:space="preserve"> HYPERLINK \l "_Toc30669" </w:instrText>
          </w:r>
          <w:r>
            <w:fldChar w:fldCharType="separate"/>
          </w:r>
          <w:r>
            <w:rPr>
              <w:rFonts w:hint="eastAsia"/>
              <w:sz w:val="28"/>
              <w:szCs w:val="28"/>
            </w:rPr>
            <w:t>5.1、绩效评价得分</w:t>
          </w:r>
          <w:r>
            <w:rPr>
              <w:sz w:val="28"/>
              <w:szCs w:val="28"/>
            </w:rPr>
            <w:tab/>
          </w:r>
          <w:r>
            <w:rPr>
              <w:sz w:val="28"/>
              <w:szCs w:val="28"/>
            </w:rPr>
            <w:fldChar w:fldCharType="begin"/>
          </w:r>
          <w:r>
            <w:rPr>
              <w:sz w:val="28"/>
              <w:szCs w:val="28"/>
            </w:rPr>
            <w:instrText xml:space="preserve"> PAGEREF _Toc30669 \h </w:instrText>
          </w:r>
          <w:r>
            <w:rPr>
              <w:sz w:val="28"/>
              <w:szCs w:val="28"/>
            </w:rPr>
            <w:fldChar w:fldCharType="separate"/>
          </w:r>
          <w:r>
            <w:rPr>
              <w:sz w:val="28"/>
              <w:szCs w:val="28"/>
            </w:rPr>
            <w:t>12</w:t>
          </w:r>
          <w:r>
            <w:rPr>
              <w:sz w:val="28"/>
              <w:szCs w:val="28"/>
            </w:rPr>
            <w:fldChar w:fldCharType="end"/>
          </w:r>
          <w:r>
            <w:rPr>
              <w:sz w:val="28"/>
              <w:szCs w:val="28"/>
            </w:rPr>
            <w:fldChar w:fldCharType="end"/>
          </w:r>
        </w:p>
        <w:p>
          <w:pPr>
            <w:pStyle w:val="11"/>
            <w:tabs>
              <w:tab w:val="right" w:leader="dot" w:pos="8306"/>
            </w:tabs>
            <w:ind w:left="560"/>
            <w:rPr>
              <w:sz w:val="28"/>
              <w:szCs w:val="28"/>
            </w:rPr>
          </w:pPr>
          <w:r>
            <w:fldChar w:fldCharType="begin"/>
          </w:r>
          <w:r>
            <w:instrText xml:space="preserve"> HYPERLINK \l "_Toc22163" </w:instrText>
          </w:r>
          <w:r>
            <w:fldChar w:fldCharType="separate"/>
          </w:r>
          <w:r>
            <w:rPr>
              <w:rFonts w:hint="eastAsia"/>
              <w:sz w:val="28"/>
              <w:szCs w:val="28"/>
            </w:rPr>
            <w:t>5.2、存在绩效问题</w:t>
          </w:r>
          <w:r>
            <w:rPr>
              <w:sz w:val="28"/>
              <w:szCs w:val="28"/>
            </w:rPr>
            <w:tab/>
          </w:r>
          <w:r>
            <w:rPr>
              <w:sz w:val="28"/>
              <w:szCs w:val="28"/>
            </w:rPr>
            <w:fldChar w:fldCharType="begin"/>
          </w:r>
          <w:r>
            <w:rPr>
              <w:sz w:val="28"/>
              <w:szCs w:val="28"/>
            </w:rPr>
            <w:instrText xml:space="preserve"> PAGEREF _Toc22163 \h </w:instrText>
          </w:r>
          <w:r>
            <w:rPr>
              <w:sz w:val="28"/>
              <w:szCs w:val="28"/>
            </w:rPr>
            <w:fldChar w:fldCharType="separate"/>
          </w:r>
          <w:r>
            <w:rPr>
              <w:sz w:val="28"/>
              <w:szCs w:val="28"/>
            </w:rPr>
            <w:t>12</w:t>
          </w:r>
          <w:r>
            <w:rPr>
              <w:sz w:val="28"/>
              <w:szCs w:val="28"/>
            </w:rPr>
            <w:fldChar w:fldCharType="end"/>
          </w:r>
          <w:r>
            <w:rPr>
              <w:sz w:val="28"/>
              <w:szCs w:val="28"/>
            </w:rPr>
            <w:fldChar w:fldCharType="end"/>
          </w:r>
        </w:p>
        <w:p>
          <w:pPr>
            <w:pStyle w:val="10"/>
            <w:tabs>
              <w:tab w:val="right" w:leader="dot" w:pos="8306"/>
            </w:tabs>
            <w:rPr>
              <w:b/>
              <w:sz w:val="28"/>
              <w:szCs w:val="28"/>
            </w:rPr>
          </w:pPr>
          <w:r>
            <w:fldChar w:fldCharType="begin"/>
          </w:r>
          <w:r>
            <w:instrText xml:space="preserve"> HYPERLINK \l "_Toc10671" </w:instrText>
          </w:r>
          <w:r>
            <w:fldChar w:fldCharType="separate"/>
          </w:r>
          <w:r>
            <w:rPr>
              <w:rFonts w:hint="eastAsia"/>
              <w:b/>
              <w:sz w:val="28"/>
              <w:szCs w:val="28"/>
            </w:rPr>
            <w:t>6、经验教训与建议</w:t>
          </w:r>
          <w:r>
            <w:rPr>
              <w:b/>
              <w:sz w:val="28"/>
              <w:szCs w:val="28"/>
            </w:rPr>
            <w:tab/>
          </w:r>
          <w:bookmarkStart w:id="32" w:name="_GoBack"/>
          <w:bookmarkEnd w:id="32"/>
          <w:r>
            <w:rPr>
              <w:b/>
              <w:sz w:val="28"/>
              <w:szCs w:val="28"/>
            </w:rPr>
            <w:fldChar w:fldCharType="begin"/>
          </w:r>
          <w:r>
            <w:rPr>
              <w:b/>
              <w:sz w:val="28"/>
              <w:szCs w:val="28"/>
            </w:rPr>
            <w:instrText xml:space="preserve"> PAGEREF _Toc10671 \h </w:instrText>
          </w:r>
          <w:r>
            <w:rPr>
              <w:b/>
              <w:sz w:val="28"/>
              <w:szCs w:val="28"/>
            </w:rPr>
            <w:fldChar w:fldCharType="separate"/>
          </w:r>
          <w:r>
            <w:rPr>
              <w:b/>
              <w:sz w:val="28"/>
              <w:szCs w:val="28"/>
            </w:rPr>
            <w:t>13</w:t>
          </w:r>
          <w:r>
            <w:rPr>
              <w:b/>
              <w:sz w:val="28"/>
              <w:szCs w:val="28"/>
            </w:rPr>
            <w:fldChar w:fldCharType="end"/>
          </w:r>
          <w:r>
            <w:rPr>
              <w:b/>
              <w:sz w:val="28"/>
              <w:szCs w:val="28"/>
            </w:rPr>
            <w:fldChar w:fldCharType="end"/>
          </w:r>
        </w:p>
        <w:p>
          <w:pPr>
            <w:pStyle w:val="11"/>
            <w:tabs>
              <w:tab w:val="right" w:leader="dot" w:pos="8306"/>
            </w:tabs>
            <w:ind w:left="560"/>
            <w:rPr>
              <w:sz w:val="28"/>
              <w:szCs w:val="28"/>
            </w:rPr>
          </w:pPr>
          <w:r>
            <w:fldChar w:fldCharType="begin"/>
          </w:r>
          <w:r>
            <w:instrText xml:space="preserve"> HYPERLINK \l "_Toc27393" </w:instrText>
          </w:r>
          <w:r>
            <w:fldChar w:fldCharType="separate"/>
          </w:r>
          <w:r>
            <w:rPr>
              <w:rFonts w:hint="eastAsia"/>
              <w:sz w:val="28"/>
              <w:szCs w:val="28"/>
            </w:rPr>
            <w:t>6.1、经验教训</w:t>
          </w:r>
          <w:r>
            <w:rPr>
              <w:sz w:val="28"/>
              <w:szCs w:val="28"/>
            </w:rPr>
            <w:tab/>
          </w:r>
          <w:r>
            <w:rPr>
              <w:sz w:val="28"/>
              <w:szCs w:val="28"/>
            </w:rPr>
            <w:fldChar w:fldCharType="begin"/>
          </w:r>
          <w:r>
            <w:rPr>
              <w:sz w:val="28"/>
              <w:szCs w:val="28"/>
            </w:rPr>
            <w:instrText xml:space="preserve"> PAGEREF _Toc27393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11"/>
            <w:tabs>
              <w:tab w:val="right" w:leader="dot" w:pos="8306"/>
            </w:tabs>
            <w:ind w:left="560"/>
            <w:rPr>
              <w:sz w:val="28"/>
              <w:szCs w:val="28"/>
            </w:rPr>
          </w:pPr>
          <w:r>
            <w:fldChar w:fldCharType="begin"/>
          </w:r>
          <w:r>
            <w:instrText xml:space="preserve"> HYPERLINK \l "_Toc7237" </w:instrText>
          </w:r>
          <w:r>
            <w:fldChar w:fldCharType="separate"/>
          </w:r>
          <w:r>
            <w:rPr>
              <w:rFonts w:hint="eastAsia"/>
              <w:sz w:val="28"/>
              <w:szCs w:val="28"/>
            </w:rPr>
            <w:t>6.2、建议</w:t>
          </w:r>
          <w:r>
            <w:rPr>
              <w:sz w:val="28"/>
              <w:szCs w:val="28"/>
            </w:rPr>
            <w:tab/>
          </w:r>
          <w:r>
            <w:rPr>
              <w:sz w:val="28"/>
              <w:szCs w:val="28"/>
            </w:rPr>
            <w:fldChar w:fldCharType="begin"/>
          </w:r>
          <w:r>
            <w:rPr>
              <w:sz w:val="28"/>
              <w:szCs w:val="28"/>
            </w:rPr>
            <w:instrText xml:space="preserve"> PAGEREF _Toc7237 \h </w:instrText>
          </w:r>
          <w:r>
            <w:rPr>
              <w:sz w:val="28"/>
              <w:szCs w:val="28"/>
            </w:rPr>
            <w:fldChar w:fldCharType="separate"/>
          </w:r>
          <w:r>
            <w:rPr>
              <w:sz w:val="28"/>
              <w:szCs w:val="28"/>
            </w:rPr>
            <w:t>13</w:t>
          </w:r>
          <w:r>
            <w:rPr>
              <w:sz w:val="28"/>
              <w:szCs w:val="28"/>
            </w:rPr>
            <w:fldChar w:fldCharType="end"/>
          </w:r>
          <w:r>
            <w:rPr>
              <w:sz w:val="28"/>
              <w:szCs w:val="28"/>
            </w:rPr>
            <w:fldChar w:fldCharType="end"/>
          </w:r>
        </w:p>
        <w:p>
          <w:pPr>
            <w:pStyle w:val="10"/>
            <w:tabs>
              <w:tab w:val="right" w:leader="dot" w:pos="8306"/>
            </w:tabs>
            <w:rPr>
              <w:rFonts w:hint="default" w:eastAsiaTheme="minorEastAsia"/>
              <w:b/>
              <w:lang w:val="en-US" w:eastAsia="zh-CN"/>
            </w:rPr>
          </w:pPr>
          <w:r>
            <w:fldChar w:fldCharType="begin"/>
          </w:r>
          <w:r>
            <w:instrText xml:space="preserve"> HYPERLINK \l "_Toc10735" </w:instrText>
          </w:r>
          <w:r>
            <w:fldChar w:fldCharType="separate"/>
          </w:r>
          <w:r>
            <w:rPr>
              <w:rFonts w:hint="eastAsia"/>
              <w:b/>
              <w:sz w:val="28"/>
              <w:szCs w:val="28"/>
            </w:rPr>
            <w:t>附：部门整体绩效评价指标评分表</w:t>
          </w:r>
          <w:r>
            <w:rPr>
              <w:b/>
              <w:sz w:val="28"/>
              <w:szCs w:val="28"/>
            </w:rPr>
            <w:tab/>
          </w:r>
          <w:r>
            <w:rPr>
              <w:b/>
              <w:sz w:val="28"/>
              <w:szCs w:val="28"/>
            </w:rPr>
            <w:fldChar w:fldCharType="end"/>
          </w:r>
          <w:r>
            <w:rPr>
              <w:rFonts w:hint="eastAsia"/>
              <w:b/>
              <w:sz w:val="28"/>
              <w:szCs w:val="28"/>
              <w:lang w:val="en-US" w:eastAsia="zh-CN"/>
            </w:rPr>
            <w:t>14</w:t>
          </w:r>
        </w:p>
        <w:p>
          <w:pPr>
            <w:ind w:firstLine="562"/>
          </w:pPr>
          <w:r>
            <w:rPr>
              <w:b/>
            </w:rPr>
            <w:fldChar w:fldCharType="end"/>
          </w:r>
        </w:p>
      </w:sdtContent>
    </w:sdt>
    <w:p>
      <w:pPr>
        <w:pStyle w:val="2"/>
        <w:ind w:firstLine="643"/>
        <w:outlineLvl w:val="9"/>
        <w:rPr>
          <w:rFonts w:hint="eastAsia"/>
        </w:rPr>
        <w:sectPr>
          <w:footerReference r:id="rId6" w:type="default"/>
          <w:pgSz w:w="11906" w:h="16838"/>
          <w:pgMar w:top="1440" w:right="1800" w:bottom="1440" w:left="1800" w:header="851" w:footer="992" w:gutter="0"/>
          <w:cols w:space="425" w:num="1"/>
          <w:docGrid w:type="lines" w:linePitch="312" w:charSpace="0"/>
        </w:sectPr>
      </w:pPr>
    </w:p>
    <w:p>
      <w:pPr>
        <w:pStyle w:val="2"/>
        <w:ind w:firstLine="643"/>
      </w:pPr>
      <w:r>
        <w:rPr>
          <w:rFonts w:hint="eastAsia"/>
        </w:rPr>
        <w:t>1、引言</w:t>
      </w:r>
    </w:p>
    <w:p>
      <w:pPr>
        <w:ind w:firstLine="560"/>
      </w:pPr>
      <w:r>
        <w:rPr>
          <w:rFonts w:hint="eastAsia" w:ascii="宋体" w:hAnsi="宋体" w:eastAsia="宋体" w:cs="宋体"/>
        </w:rPr>
        <w:t>为贯彻落实全面推进预算绩效管理工作的要求，根据《全面实施预算绩效管理的意见》</w:t>
      </w:r>
      <w:r>
        <w:rPr>
          <w:rFonts w:hint="eastAsia" w:ascii="宋体" w:hAnsi="宋体" w:cs="宋体"/>
          <w:lang w:eastAsia="zh-CN"/>
        </w:rPr>
        <w:t>、《关于开展2021年度部门整体绩效自评价工作的通知》（连财绩〔2022〕3号）</w:t>
      </w:r>
      <w:r>
        <w:rPr>
          <w:rFonts w:hint="eastAsia" w:ascii="宋体" w:hAnsi="宋体" w:eastAsia="宋体" w:cs="宋体"/>
        </w:rPr>
        <w:t>、《连云港市市级财政预算绩效目标管理办法》相关文件的要求和指导，对本单位绩效目标设立的规范、合理及资金匹配度进行评估，对绩效目标的完成情况进行合理评价，现汇报如下：</w:t>
      </w:r>
    </w:p>
    <w:p>
      <w:pPr>
        <w:pStyle w:val="3"/>
        <w:ind w:firstLine="643"/>
        <w:rPr>
          <w:rFonts w:hint="eastAsia"/>
        </w:rPr>
      </w:pPr>
      <w:bookmarkStart w:id="0" w:name="_Toc9071"/>
      <w:bookmarkStart w:id="1" w:name="_Toc32450"/>
      <w:r>
        <w:rPr>
          <w:rFonts w:hint="eastAsia"/>
        </w:rPr>
        <w:t>1.1、部门职责概述</w:t>
      </w:r>
      <w:bookmarkEnd w:id="0"/>
      <w:bookmarkEnd w:id="1"/>
    </w:p>
    <w:p>
      <w:pPr>
        <w:rPr>
          <w:rFonts w:hint="eastAsia"/>
        </w:rPr>
      </w:pPr>
      <w:r>
        <w:rPr>
          <w:rFonts w:hint="eastAsia"/>
        </w:rPr>
        <w:t>根据《江苏省房屋建筑和市政基础设施工程质量监督管理办法》（省政府令第89号），我站是受市住建局委托，依法对建设工程质量进行监督，主要工作职责为：（1）检查工程质量法律、法规、规章和工程建设强制性标准的执行情况，参与制定本地区建设工程质量监督、检测工作的有关规定。（2）受理建设单位办理工程质量监督手续，对施工现场工程建设各方责任主体和有关机构履行质量责任的质量行为进行监督抽查。（3）抽查涉及工程主体结构安全和主要使用功能的工程实体质量，发现问题责令整改。（4）对建设单位组织的工程竣工验收进行监督，向备案机关提交工程质量监督报告。（5）组织或者参与工程质量事故的调查处理。（6）对建设各方责任主体和有关机构违法、违规行为，按委托权限实施行政处罚或向建设主管部门提出处罚建议。（7）组织市级优质结构工程评选，参与市优质工程的评选。（8）总结质量监督工作经验，掌握本地区工程质量状况，定期向上级主管部门报告。（9）完成上级主管部门交办的其他工作。</w:t>
      </w:r>
    </w:p>
    <w:p>
      <w:pPr>
        <w:pStyle w:val="3"/>
        <w:ind w:firstLine="643"/>
        <w:rPr>
          <w:rFonts w:hint="eastAsia"/>
        </w:rPr>
      </w:pPr>
      <w:bookmarkStart w:id="2" w:name="_Toc30388"/>
      <w:bookmarkStart w:id="3" w:name="_Toc24929"/>
      <w:r>
        <w:rPr>
          <w:rFonts w:hint="eastAsia"/>
        </w:rPr>
        <w:t>1.2、部门收支描述</w:t>
      </w:r>
      <w:bookmarkEnd w:id="2"/>
      <w:bookmarkEnd w:id="3"/>
    </w:p>
    <w:p>
      <w:pPr>
        <w:rPr>
          <w:rFonts w:hint="eastAsia"/>
        </w:rPr>
      </w:pPr>
      <w:r>
        <w:rPr>
          <w:rFonts w:hint="eastAsia"/>
        </w:rPr>
        <w:t>一、收入支出决算总体情况说明</w:t>
      </w:r>
    </w:p>
    <w:p>
      <w:pPr>
        <w:rPr>
          <w:rFonts w:hint="eastAsia"/>
        </w:rPr>
      </w:pPr>
      <w:r>
        <w:rPr>
          <w:rFonts w:hint="eastAsia"/>
        </w:rPr>
        <w:t>2021年度收入、支出决算总计594.9万元。与上年相比，收、支总计各增加2.4万元，增长0.41%。其中：</w:t>
      </w:r>
    </w:p>
    <w:p>
      <w:pPr>
        <w:rPr>
          <w:rFonts w:hint="eastAsia"/>
        </w:rPr>
      </w:pPr>
      <w:r>
        <w:rPr>
          <w:rFonts w:hint="eastAsia"/>
        </w:rPr>
        <w:t>（一）收入决算总计594.9万元。包括：</w:t>
      </w:r>
    </w:p>
    <w:p>
      <w:pPr>
        <w:rPr>
          <w:rFonts w:hint="eastAsia"/>
        </w:rPr>
      </w:pPr>
      <w:r>
        <w:rPr>
          <w:rFonts w:hint="eastAsia"/>
        </w:rPr>
        <w:t>1.本年收入决算合计594.9万元。与上年相比，增加2.4万元，增长0.41%，变动原因：人员工资福利增长。其中：财政拨款收入564.9万元，占94.96%；上级补助收入30万元，占5.04%；财政专户管理教育收费0万元，占0%；事业收入（不含专户管理教育收费）0万元，占0%；经营收入0万元，占0%；附属单位上缴收入0万元，占0%；其他收入0万元，占0%。</w:t>
      </w:r>
    </w:p>
    <w:p>
      <w:pPr>
        <w:rPr>
          <w:rFonts w:hint="eastAsia"/>
        </w:rPr>
      </w:pPr>
      <w:r>
        <w:rPr>
          <w:rFonts w:hint="eastAsia"/>
        </w:rPr>
        <w:t>2.使用非财政拨款结余0万元。与上年决算数相同。</w:t>
      </w:r>
    </w:p>
    <w:p>
      <w:pPr>
        <w:rPr>
          <w:rFonts w:hint="eastAsia"/>
        </w:rPr>
      </w:pPr>
      <w:r>
        <w:rPr>
          <w:rFonts w:hint="eastAsia"/>
        </w:rPr>
        <w:t>3.年初结转和结余0万元。与上年决算数相同。</w:t>
      </w:r>
    </w:p>
    <w:p>
      <w:pPr>
        <w:rPr>
          <w:rFonts w:hint="eastAsia"/>
        </w:rPr>
      </w:pPr>
      <w:r>
        <w:rPr>
          <w:rFonts w:hint="eastAsia"/>
        </w:rPr>
        <w:t>（二）支出决算总计594.9万元。包括：</w:t>
      </w:r>
    </w:p>
    <w:p>
      <w:pPr>
        <w:rPr>
          <w:rFonts w:hint="eastAsia"/>
        </w:rPr>
      </w:pPr>
      <w:r>
        <w:rPr>
          <w:rFonts w:hint="eastAsia"/>
        </w:rPr>
        <w:t>1.本年支出决算合计594.9万元。与上年相比，增加2.4万元，增长0.41%，变动原因：人员工资福利增长。其中：基本支出593.9万元，占99.83%；项目支出1万元，占0.17%；上缴上级支出0万元，占0%；经营支出0万元，占0%；对附属单位补助支出0万元，占0%。</w:t>
      </w:r>
    </w:p>
    <w:p>
      <w:pPr>
        <w:rPr>
          <w:rFonts w:hint="eastAsia"/>
        </w:rPr>
      </w:pPr>
      <w:r>
        <w:rPr>
          <w:rFonts w:hint="eastAsia"/>
        </w:rPr>
        <w:t>2.结余分配0万元。与上年决算数相同。</w:t>
      </w:r>
    </w:p>
    <w:p>
      <w:pPr>
        <w:rPr>
          <w:rFonts w:hint="eastAsia"/>
        </w:rPr>
      </w:pPr>
      <w:r>
        <w:rPr>
          <w:rFonts w:hint="eastAsia"/>
        </w:rPr>
        <w:t>3.年末结转和结余0万元。与上年决算数相同。</w:t>
      </w:r>
    </w:p>
    <w:p>
      <w:pPr>
        <w:pStyle w:val="3"/>
        <w:ind w:firstLine="643"/>
        <w:rPr>
          <w:rFonts w:hint="eastAsia"/>
        </w:rPr>
      </w:pPr>
      <w:bookmarkStart w:id="4" w:name="_Toc6798"/>
      <w:bookmarkStart w:id="5" w:name="_Toc21019"/>
      <w:r>
        <w:rPr>
          <w:rFonts w:hint="eastAsia"/>
        </w:rPr>
        <w:t>1.3、部门项目实施情况</w:t>
      </w:r>
      <w:bookmarkEnd w:id="4"/>
      <w:bookmarkEnd w:id="5"/>
    </w:p>
    <w:p>
      <w:pPr>
        <w:rPr>
          <w:rFonts w:hint="default"/>
          <w:lang w:val="en-US"/>
        </w:rPr>
      </w:pPr>
      <w:r>
        <w:rPr>
          <w:rFonts w:hint="eastAsia"/>
        </w:rPr>
        <w:t>2021年度</w:t>
      </w:r>
      <w:r>
        <w:rPr>
          <w:rFonts w:hint="eastAsia"/>
          <w:lang w:val="en-US" w:eastAsia="zh-CN"/>
        </w:rPr>
        <w:t>项目</w:t>
      </w:r>
      <w:r>
        <w:rPr>
          <w:rFonts w:hint="eastAsia"/>
        </w:rPr>
        <w:t>支出</w:t>
      </w:r>
      <w:r>
        <w:rPr>
          <w:rFonts w:hint="eastAsia"/>
          <w:lang w:val="en-US" w:eastAsia="zh-CN"/>
        </w:rPr>
        <w:t>预算</w:t>
      </w:r>
      <w:r>
        <w:rPr>
          <w:rFonts w:hint="eastAsia"/>
        </w:rPr>
        <w:t>1万元，</w:t>
      </w:r>
      <w:r>
        <w:rPr>
          <w:rFonts w:hint="eastAsia"/>
          <w:lang w:val="en-US" w:eastAsia="zh-CN"/>
        </w:rPr>
        <w:t>实际支出1万元。主要为购置办公设备，更高的辅助质检站完成各项职能任务，提升质量安全监督人员的业务素质和履职能力，着力优化监管方式，努力提高监督效能。</w:t>
      </w:r>
    </w:p>
    <w:p>
      <w:pPr>
        <w:ind w:left="0" w:leftChars="0" w:firstLine="0" w:firstLineChars="0"/>
        <w:outlineLvl w:val="0"/>
        <w:rPr>
          <w:rFonts w:hint="eastAsia" w:eastAsia="宋体" w:asciiTheme="minorHAnsi" w:hAnsiTheme="minorHAnsi" w:cstheme="minorBidi"/>
          <w:b/>
          <w:kern w:val="44"/>
          <w:sz w:val="32"/>
          <w:szCs w:val="24"/>
          <w:lang w:val="en-US" w:eastAsia="zh-CN" w:bidi="ar-SA"/>
        </w:rPr>
      </w:pPr>
      <w:r>
        <w:rPr>
          <w:rFonts w:hint="eastAsia" w:eastAsia="宋体" w:asciiTheme="minorHAnsi" w:hAnsiTheme="minorHAnsi" w:cstheme="minorBidi"/>
          <w:b/>
          <w:kern w:val="44"/>
          <w:sz w:val="32"/>
          <w:szCs w:val="24"/>
          <w:lang w:val="en-US" w:eastAsia="zh-CN" w:bidi="ar-SA"/>
        </w:rPr>
        <w:t>2、绩效评价概述</w:t>
      </w:r>
    </w:p>
    <w:p>
      <w:pPr>
        <w:pStyle w:val="3"/>
        <w:ind w:firstLine="643"/>
        <w:rPr>
          <w:rFonts w:hint="eastAsia" w:ascii="Arial" w:hAnsi="Arial" w:eastAsia="宋体" w:cstheme="minorBidi"/>
          <w:b/>
          <w:kern w:val="2"/>
          <w:sz w:val="32"/>
          <w:szCs w:val="24"/>
          <w:lang w:val="en-US" w:eastAsia="zh-CN" w:bidi="ar-SA"/>
        </w:rPr>
      </w:pPr>
      <w:bookmarkStart w:id="6" w:name="_Toc21273"/>
      <w:bookmarkStart w:id="7" w:name="_Toc4271"/>
      <w:r>
        <w:rPr>
          <w:rFonts w:hint="eastAsia" w:ascii="Arial" w:hAnsi="Arial" w:eastAsia="宋体" w:cstheme="minorBidi"/>
          <w:b/>
          <w:kern w:val="2"/>
          <w:sz w:val="32"/>
          <w:szCs w:val="24"/>
          <w:lang w:val="en-US" w:eastAsia="zh-CN" w:bidi="ar-SA"/>
        </w:rPr>
        <w:t>2.1、绩效评价目的</w:t>
      </w:r>
    </w:p>
    <w:p>
      <w:pPr>
        <w:rPr>
          <w:rFonts w:hint="eastAsia"/>
          <w:lang w:val="en-US" w:eastAsia="zh-CN"/>
        </w:rPr>
      </w:pPr>
      <w:r>
        <w:rPr>
          <w:rFonts w:hint="eastAsia"/>
          <w:lang w:val="en-US" w:eastAsia="zh-CN"/>
        </w:rPr>
        <w:t>通过对市财政 2021年度安排我单位的预算配置、预算资金管理、资产管理、职责履行、履职效益等内容的绩效考评，提高财政资金的使用效率，为财政部门预算管理提供决策依据。</w:t>
      </w:r>
    </w:p>
    <w:p>
      <w:pPr>
        <w:pStyle w:val="3"/>
        <w:ind w:firstLine="643"/>
        <w:rPr>
          <w:bCs/>
          <w:szCs w:val="32"/>
        </w:rPr>
      </w:pPr>
      <w:r>
        <w:rPr>
          <w:rFonts w:hint="eastAsia"/>
        </w:rPr>
        <w:t>2.2、绩效评价实施过程</w:t>
      </w:r>
      <w:bookmarkEnd w:id="6"/>
      <w:bookmarkEnd w:id="7"/>
    </w:p>
    <w:p>
      <w:pPr>
        <w:ind w:firstLine="560"/>
      </w:pPr>
      <w:r>
        <w:rPr>
          <w:rFonts w:hint="eastAsia"/>
        </w:rPr>
        <w:t>1、前期准备。按照市财政局《关于开展2021年度部门整体绩效自评价工作的通知</w:t>
      </w:r>
      <w:r>
        <w:rPr>
          <w:rFonts w:hint="eastAsia"/>
          <w:lang w:eastAsia="zh-CN"/>
        </w:rPr>
        <w:t>》（</w:t>
      </w:r>
      <w:r>
        <w:rPr>
          <w:rFonts w:hint="eastAsia"/>
        </w:rPr>
        <w:t>连财绩〔2022〕3号）、《连云港市市级财政预算绩效目标管理办法》文件精神，</w:t>
      </w:r>
      <w:r>
        <w:rPr>
          <w:rFonts w:hint="eastAsia"/>
          <w:lang w:val="en-US" w:eastAsia="zh-CN"/>
        </w:rPr>
        <w:t>连云港市建设工程质量监督站</w:t>
      </w:r>
      <w:r>
        <w:rPr>
          <w:rFonts w:hint="eastAsia"/>
        </w:rPr>
        <w:t>对绩效评价工作进行了动员部署，成立了整体绩效评价小组，进行任务分工，压实工作责任。要求各处室及相关人员根据通知，全面准备数据资料，组织自查、自评。</w:t>
      </w:r>
    </w:p>
    <w:p>
      <w:pPr>
        <w:ind w:firstLine="560"/>
      </w:pPr>
      <w:r>
        <w:rPr>
          <w:rFonts w:hint="eastAsia"/>
        </w:rPr>
        <w:t>评价小组收集有关资料后，了解评价内容，分工收集了部门整体绩效立项的文件、项目预算材料、项目工作总结，与相关负责人沟通，完善评价指标体系。</w:t>
      </w:r>
    </w:p>
    <w:p>
      <w:pPr>
        <w:ind w:firstLine="560"/>
        <w:rPr>
          <w:rFonts w:hint="eastAsia"/>
        </w:rPr>
      </w:pPr>
      <w:r>
        <w:rPr>
          <w:rFonts w:hint="eastAsia"/>
        </w:rPr>
        <w:t>2、组织实施。实地采集数据，完善评价基础资料。</w:t>
      </w:r>
    </w:p>
    <w:p>
      <w:pPr>
        <w:ind w:firstLine="560"/>
      </w:pPr>
      <w:r>
        <w:rPr>
          <w:rFonts w:hint="eastAsia"/>
        </w:rPr>
        <w:t>3、分析评价。汇总分析评价数据，依据制订的评价指标，结合单位数据分布情况，参照标准和打分规则，对项目投入产出绩效进行量化打分。依据评价结论和部门整体立项、执行、管理、资金运用及使用情况，以及投入产出，撰写绩效评价报告，针对存在问题提出改进建议。</w:t>
      </w:r>
    </w:p>
    <w:p>
      <w:pPr>
        <w:pStyle w:val="3"/>
        <w:ind w:firstLine="643"/>
        <w:rPr>
          <w:rFonts w:hint="eastAsia"/>
        </w:rPr>
      </w:pPr>
      <w:bookmarkStart w:id="8" w:name="_Toc6217"/>
      <w:bookmarkStart w:id="9" w:name="_Toc22394"/>
      <w:r>
        <w:rPr>
          <w:rFonts w:hint="eastAsia"/>
        </w:rPr>
        <w:t>2.3、绩效评价的局限性</w:t>
      </w:r>
      <w:bookmarkEnd w:id="8"/>
      <w:bookmarkEnd w:id="9"/>
    </w:p>
    <w:p>
      <w:pPr>
        <w:rPr>
          <w:rFonts w:hint="eastAsia"/>
        </w:rPr>
      </w:pPr>
      <w:r>
        <w:rPr>
          <w:rFonts w:hint="eastAsia"/>
        </w:rPr>
        <w:t>由于本单位整体支出绩效评价属于综合性的评价，其涉及管理学、经济学、等各项领域，因此仅仅依靠财务和管理人员，在没有相关专家指导的情况下，对部门整体支出进行独立评价可能结果并不完整。</w:t>
      </w:r>
    </w:p>
    <w:p>
      <w:pPr>
        <w:pStyle w:val="2"/>
        <w:ind w:firstLine="643"/>
        <w:rPr>
          <w:bCs/>
          <w:szCs w:val="32"/>
        </w:rPr>
      </w:pPr>
      <w:bookmarkStart w:id="10" w:name="_Toc32442"/>
      <w:bookmarkStart w:id="11" w:name="_Toc32302"/>
      <w:r>
        <w:rPr>
          <w:rFonts w:hint="eastAsia"/>
        </w:rPr>
        <w:t>3、部门整体绩效评价分析</w:t>
      </w:r>
      <w:bookmarkEnd w:id="10"/>
      <w:bookmarkEnd w:id="11"/>
    </w:p>
    <w:p>
      <w:pPr>
        <w:pStyle w:val="3"/>
        <w:ind w:firstLine="643"/>
        <w:rPr>
          <w:szCs w:val="32"/>
        </w:rPr>
      </w:pPr>
      <w:bookmarkStart w:id="12" w:name="_Toc13701"/>
      <w:bookmarkStart w:id="13" w:name="_Toc9044"/>
      <w:r>
        <w:rPr>
          <w:rFonts w:hint="eastAsia"/>
        </w:rPr>
        <w:t>3.1、内部管理</w:t>
      </w:r>
      <w:bookmarkEnd w:id="12"/>
      <w:r>
        <w:rPr>
          <w:rFonts w:hint="eastAsia"/>
        </w:rPr>
        <w:t>（各指标得分情况和绩效分析）</w:t>
      </w:r>
      <w:bookmarkEnd w:id="13"/>
    </w:p>
    <w:p>
      <w:pPr>
        <w:ind w:firstLine="560"/>
        <w:outlineLvl w:val="2"/>
      </w:pPr>
      <w:r>
        <w:rPr>
          <w:rFonts w:hint="eastAsia"/>
        </w:rPr>
        <w:t>1、决策管理</w:t>
      </w:r>
    </w:p>
    <w:p>
      <w:pPr>
        <w:ind w:firstLine="560"/>
      </w:pPr>
      <w:r>
        <w:rPr>
          <w:rFonts w:hint="eastAsia"/>
        </w:rPr>
        <w:t>绩效目标内部管理部分综合得分为</w:t>
      </w:r>
      <w:r>
        <w:rPr>
          <w:rFonts w:hint="eastAsia"/>
          <w:lang w:val="en-US" w:eastAsia="zh-CN"/>
        </w:rPr>
        <w:t>19</w:t>
      </w:r>
      <w:r>
        <w:rPr>
          <w:rFonts w:hint="eastAsia"/>
        </w:rPr>
        <w:t xml:space="preserve">分；其中决策管理得分为 </w:t>
      </w:r>
      <w:r>
        <w:rPr>
          <w:rFonts w:hint="eastAsia"/>
          <w:lang w:val="en-US" w:eastAsia="zh-CN"/>
        </w:rPr>
        <w:t>2</w:t>
      </w:r>
      <w:r>
        <w:rPr>
          <w:rFonts w:hint="eastAsia"/>
        </w:rPr>
        <w:t>分。严格落实年度工作报告制度，汇总各处室年度工作完成情况和下年工作安排，编制全局年度工作总结和来年工作计划。</w:t>
      </w:r>
    </w:p>
    <w:p>
      <w:pPr>
        <w:ind w:firstLine="560"/>
        <w:outlineLvl w:val="2"/>
      </w:pPr>
      <w:r>
        <w:rPr>
          <w:rFonts w:hint="eastAsia"/>
        </w:rPr>
        <w:t>2、人员管理</w:t>
      </w:r>
    </w:p>
    <w:p>
      <w:pPr>
        <w:ind w:firstLine="560"/>
      </w:pPr>
      <w:r>
        <w:rPr>
          <w:rFonts w:hint="eastAsia"/>
        </w:rPr>
        <w:t>绩</w:t>
      </w:r>
      <w:r>
        <w:rPr>
          <w:rFonts w:hint="eastAsia" w:ascii="宋体" w:hAnsi="宋体" w:eastAsia="宋体" w:cs="宋体"/>
        </w:rPr>
        <w:t>效目标内部管理部分综合得分为</w:t>
      </w:r>
      <w:r>
        <w:rPr>
          <w:rFonts w:hint="eastAsia" w:ascii="宋体" w:hAnsi="宋体" w:cs="宋体"/>
          <w:lang w:val="en-US" w:eastAsia="zh-CN"/>
        </w:rPr>
        <w:t>19</w:t>
      </w:r>
      <w:r>
        <w:rPr>
          <w:rFonts w:hint="eastAsia" w:ascii="宋体" w:hAnsi="宋体" w:eastAsia="宋体" w:cs="宋体"/>
        </w:rPr>
        <w:t xml:space="preserve">分；其中人员管理得分为 </w:t>
      </w:r>
      <w:r>
        <w:rPr>
          <w:rFonts w:hint="eastAsia" w:ascii="宋体" w:hAnsi="宋体" w:cs="宋体"/>
          <w:lang w:val="en-US" w:eastAsia="zh-CN"/>
        </w:rPr>
        <w:t>2.5</w:t>
      </w:r>
      <w:r>
        <w:rPr>
          <w:rFonts w:hint="eastAsia" w:ascii="宋体" w:hAnsi="宋体" w:eastAsia="宋体" w:cs="宋体"/>
        </w:rPr>
        <w:t>分。据相关文件合理控制财政供养人员情况，不断健全人事管理制度；同时根据单位工作需要对工作人员组织培训，提升员工工作能力。</w:t>
      </w:r>
      <w:r>
        <w:rPr>
          <w:rFonts w:hint="eastAsia" w:ascii="宋体" w:hAnsi="宋体" w:cs="宋体"/>
          <w:lang w:val="en-US" w:eastAsia="zh-CN"/>
        </w:rPr>
        <w:t>但是培训后存在没有</w:t>
      </w:r>
      <w:r>
        <w:rPr>
          <w:rFonts w:hint="eastAsia" w:ascii="宋体" w:hAnsi="宋体" w:eastAsia="宋体" w:cs="宋体"/>
        </w:rPr>
        <w:t>积极测试培训效果，</w:t>
      </w:r>
      <w:r>
        <w:rPr>
          <w:rFonts w:hint="eastAsia" w:ascii="宋体" w:hAnsi="宋体" w:cs="宋体"/>
          <w:lang w:val="en-US" w:eastAsia="zh-CN"/>
        </w:rPr>
        <w:t>及时</w:t>
      </w:r>
      <w:r>
        <w:rPr>
          <w:rFonts w:hint="eastAsia" w:ascii="宋体" w:hAnsi="宋体" w:eastAsia="宋体" w:cs="宋体"/>
        </w:rPr>
        <w:t>反映培训成效，更好的更加真实的反馈培训的有效性。</w:t>
      </w:r>
    </w:p>
    <w:p>
      <w:pPr>
        <w:ind w:firstLine="560"/>
        <w:outlineLvl w:val="2"/>
      </w:pPr>
      <w:r>
        <w:rPr>
          <w:rFonts w:hint="eastAsia"/>
        </w:rPr>
        <w:t>3、资金及资产管理</w:t>
      </w:r>
    </w:p>
    <w:p>
      <w:pPr>
        <w:ind w:firstLine="560"/>
      </w:pPr>
      <w:r>
        <w:rPr>
          <w:rFonts w:hint="eastAsia"/>
        </w:rPr>
        <w:t>绩效目标内部管理部分综合得分为</w:t>
      </w:r>
      <w:r>
        <w:rPr>
          <w:rFonts w:hint="eastAsia"/>
          <w:lang w:val="en-US" w:eastAsia="zh-CN"/>
        </w:rPr>
        <w:t>19</w:t>
      </w:r>
      <w:r>
        <w:rPr>
          <w:rFonts w:hint="eastAsia"/>
        </w:rPr>
        <w:t>分；其中资金及资产管理得分为</w:t>
      </w:r>
      <w:r>
        <w:rPr>
          <w:rFonts w:hint="eastAsia"/>
          <w:lang w:val="en-US" w:eastAsia="zh-CN"/>
        </w:rPr>
        <w:t>6</w:t>
      </w:r>
      <w:r>
        <w:rPr>
          <w:rFonts w:hint="eastAsia"/>
        </w:rPr>
        <w:t>分。资金使用符合财经法规和财务管理制度及有关专项资金管理办法的规定，资金的拨付有完整的审批过程和手续，支出符合部门预算批复的用途，合理编制年初预算以便于支出调整预算执行率为100%，资金使用中做到专款专用率为 100%。依据《连云港市市级行政事业单位国有资产管理暂行办法》（连财规〔2011〕1号）、《连云港市市级行政事业单位国有资产使用管理暂行办法》（连财规〔2012〕5号）、《连云港市市级行政事业单位国有资产处置管理办法》（连财资〔2018〕81号）严格执行固定资产管理及政府采购制度，按照规定配置办公设备，规范固定资产的审批、购买、领用等程序，保证资产的安全性。</w:t>
      </w:r>
    </w:p>
    <w:p>
      <w:pPr>
        <w:ind w:firstLine="560"/>
        <w:outlineLvl w:val="2"/>
      </w:pPr>
      <w:r>
        <w:rPr>
          <w:rFonts w:hint="eastAsia"/>
        </w:rPr>
        <w:t>4、机构建设与内控管理</w:t>
      </w:r>
    </w:p>
    <w:p>
      <w:pPr>
        <w:ind w:firstLine="560"/>
      </w:pPr>
      <w:r>
        <w:rPr>
          <w:rFonts w:hint="eastAsia"/>
        </w:rPr>
        <w:t>绩效目标内部管理部分综合得分为</w:t>
      </w:r>
      <w:r>
        <w:rPr>
          <w:rFonts w:hint="eastAsia"/>
          <w:lang w:val="en-US" w:eastAsia="zh-CN"/>
        </w:rPr>
        <w:t>19</w:t>
      </w:r>
      <w:r>
        <w:rPr>
          <w:rFonts w:hint="eastAsia"/>
        </w:rPr>
        <w:t>分；其中机构建设与内控管理得分为</w:t>
      </w:r>
      <w:r>
        <w:rPr>
          <w:rFonts w:hint="eastAsia"/>
          <w:lang w:val="en-US" w:eastAsia="zh-CN"/>
        </w:rPr>
        <w:t>8.5</w:t>
      </w:r>
      <w:r>
        <w:rPr>
          <w:rFonts w:hint="eastAsia"/>
        </w:rPr>
        <w:t>分。单位不断健全落实工作风险控制制度将违纪违法发生数降至为0，严格落实中央规定精神及其实施细则，执行各项财务制度，合理编制预算，及时做好预决算省级平台公示及各种常规性报表。202</w:t>
      </w:r>
      <w:r>
        <w:rPr>
          <w:rFonts w:hint="eastAsia"/>
          <w:lang w:val="en-US" w:eastAsia="zh-CN"/>
        </w:rPr>
        <w:t>1</w:t>
      </w:r>
      <w:r>
        <w:rPr>
          <w:rFonts w:hint="eastAsia"/>
        </w:rPr>
        <w:t>年网络及信息系统管理与运行安全稳定。202</w:t>
      </w:r>
      <w:r>
        <w:rPr>
          <w:rFonts w:hint="eastAsia"/>
          <w:lang w:val="en-US" w:eastAsia="zh-CN"/>
        </w:rPr>
        <w:t>1</w:t>
      </w:r>
      <w:r>
        <w:rPr>
          <w:rFonts w:hint="eastAsia"/>
        </w:rPr>
        <w:t>年</w:t>
      </w:r>
      <w:r>
        <w:rPr>
          <w:rFonts w:hint="eastAsia"/>
          <w:lang w:val="en-US" w:eastAsia="zh-CN"/>
        </w:rPr>
        <w:t>连云港市建设工程质量监督站</w:t>
      </w:r>
      <w:r>
        <w:rPr>
          <w:rFonts w:hint="eastAsia"/>
        </w:rPr>
        <w:t>获得全市综合考核获</w:t>
      </w:r>
      <w:r>
        <w:rPr>
          <w:rFonts w:hint="eastAsia"/>
          <w:lang w:val="en-US" w:eastAsia="zh-CN"/>
        </w:rPr>
        <w:t>一等奖</w:t>
      </w:r>
      <w:r>
        <w:rPr>
          <w:rFonts w:hint="eastAsia"/>
        </w:rPr>
        <w:t>。在部门工作创新上，虽然有所发展，但是发展不显著，下年度需要继续努力。</w:t>
      </w:r>
    </w:p>
    <w:p>
      <w:pPr>
        <w:pStyle w:val="3"/>
        <w:ind w:firstLine="643"/>
        <w:rPr>
          <w:bCs/>
          <w:szCs w:val="32"/>
        </w:rPr>
      </w:pPr>
      <w:bookmarkStart w:id="14" w:name="_Toc2518"/>
      <w:bookmarkStart w:id="15" w:name="_Toc27950"/>
      <w:r>
        <w:rPr>
          <w:rFonts w:hint="eastAsia"/>
        </w:rPr>
        <w:t>3.2、部门履职（各指标得分情况和绩效分析）</w:t>
      </w:r>
      <w:bookmarkEnd w:id="14"/>
      <w:bookmarkEnd w:id="15"/>
    </w:p>
    <w:p>
      <w:pPr>
        <w:ind w:firstLine="560"/>
      </w:pPr>
      <w:r>
        <w:rPr>
          <w:rFonts w:hint="eastAsia"/>
        </w:rPr>
        <w:t>1、职能一：</w:t>
      </w:r>
      <w:r>
        <w:rPr>
          <w:rFonts w:hint="eastAsia"/>
          <w:lang w:val="en-US" w:eastAsia="zh-CN"/>
        </w:rPr>
        <w:t>检查工程质量法律、法规、规章和工程建设强制性标准的执行情况，参与制定本地区建设工程质量监督、检测工作的有关规定</w:t>
      </w:r>
      <w:r>
        <w:rPr>
          <w:rFonts w:hint="eastAsia"/>
          <w:lang w:eastAsia="zh-CN"/>
        </w:rPr>
        <w:t>，</w:t>
      </w:r>
      <w:r>
        <w:rPr>
          <w:rFonts w:hint="eastAsia"/>
        </w:rPr>
        <w:t>得分</w:t>
      </w:r>
      <w:r>
        <w:rPr>
          <w:rFonts w:hint="eastAsia"/>
          <w:lang w:val="en-US" w:eastAsia="zh-CN"/>
        </w:rPr>
        <w:t>8</w:t>
      </w:r>
      <w:r>
        <w:rPr>
          <w:rFonts w:hint="eastAsia"/>
        </w:rPr>
        <w:t>分</w:t>
      </w:r>
      <w:r>
        <w:rPr>
          <w:rFonts w:hint="eastAsia"/>
          <w:lang w:eastAsia="zh-CN"/>
        </w:rPr>
        <w:t>。</w:t>
      </w:r>
      <w:r>
        <w:rPr>
          <w:rFonts w:hint="eastAsia"/>
          <w:lang w:val="en-US" w:eastAsia="zh-CN"/>
        </w:rPr>
        <w:t>2021年</w:t>
      </w:r>
      <w:r>
        <w:rPr>
          <w:rFonts w:hint="eastAsia"/>
        </w:rPr>
        <w:t>根据局党委要求，推动质监、安监融合发展，在明确新班子临时分工和科室人员岗位调整后，通过整合质监站、安监站现有监督力量资源，形成1+1大于2的合力。</w:t>
      </w:r>
      <w:r>
        <w:rPr>
          <w:rFonts w:hint="eastAsia"/>
          <w:lang w:val="en-US" w:eastAsia="zh-CN"/>
        </w:rPr>
        <w:t>2021年</w:t>
      </w:r>
      <w:r>
        <w:rPr>
          <w:rFonts w:hint="eastAsia"/>
        </w:rPr>
        <w:t>加大培训力度，不断提升工程质量安全监督人员的业务素质和履职能力，努力打造一支业务精、作风硬的监督队伍。在一体推进联合巡查、督查新模式方面取得初步成效，已形成了联合监督执法常态化，逐步形成质安条线监督管理“一张网”。市质监站、安监站联合下发了《关于开展建筑工地项目经理、总监理工程师在岗履职专项检查的通知》</w:t>
      </w:r>
      <w:r>
        <w:rPr>
          <w:rFonts w:hint="eastAsia"/>
          <w:lang w:eastAsia="zh-CN"/>
        </w:rPr>
        <w:t>。</w:t>
      </w:r>
      <w:r>
        <w:rPr>
          <w:rFonts w:hint="eastAsia"/>
          <w:lang w:val="en-US" w:eastAsia="zh-CN"/>
        </w:rPr>
        <w:t>为了</w:t>
      </w:r>
      <w:r>
        <w:rPr>
          <w:rFonts w:hint="eastAsia"/>
          <w:lang w:eastAsia="zh-CN"/>
        </w:rPr>
        <w:t>增强建设工程质量监督抽测（检）工作的科学性、权威性，下发了《关于进一步加强建设工程质量监督抽测（检）技术措施的通知》（连建质监【2021】7号）。</w:t>
      </w:r>
    </w:p>
    <w:p>
      <w:pPr>
        <w:ind w:firstLine="560"/>
        <w:rPr>
          <w:rFonts w:hint="default" w:eastAsia="宋体"/>
          <w:lang w:val="en-US" w:eastAsia="zh-CN"/>
        </w:rPr>
      </w:pPr>
      <w:r>
        <w:rPr>
          <w:rFonts w:hint="eastAsia"/>
        </w:rPr>
        <w:t>2、职能二：受理建设单位办理工程质量监督手续，对施工现场工程建设各方责任主体和有关机构履行质量责任的质量行为进行监督抽查</w:t>
      </w:r>
      <w:r>
        <w:rPr>
          <w:rFonts w:hint="eastAsia"/>
          <w:lang w:eastAsia="zh-CN"/>
        </w:rPr>
        <w:t>，</w:t>
      </w:r>
      <w:r>
        <w:rPr>
          <w:rFonts w:hint="eastAsia"/>
        </w:rPr>
        <w:t>得分</w:t>
      </w:r>
      <w:r>
        <w:rPr>
          <w:rFonts w:hint="eastAsia"/>
          <w:lang w:val="en-US" w:eastAsia="zh-CN"/>
        </w:rPr>
        <w:t>11</w:t>
      </w:r>
      <w:r>
        <w:rPr>
          <w:rFonts w:hint="eastAsia"/>
        </w:rPr>
        <w:t>分。</w:t>
      </w:r>
      <w:r>
        <w:rPr>
          <w:rFonts w:hint="eastAsia"/>
          <w:lang w:val="en-US" w:eastAsia="zh-CN"/>
        </w:rPr>
        <w:t>2021年疫情情况多变，质检站</w:t>
      </w:r>
      <w:r>
        <w:rPr>
          <w:rFonts w:hint="eastAsia"/>
        </w:rPr>
        <w:t>全面贯彻落实上级部门疫情防控要求，扎实开展建筑工地疫情防控检查。一是利用微信工作群迅速转发疫情防控相关文件，全面部署建筑工地疫情防控工作。要求所有建筑工地立即行动起来，落实工地全封闭管理，安排专人在施工现场出入口检测体温和苏康码、行程码，建立健全一人一档；二是督促建筑工地责任主体落实疫情防控责任，签订疫情防控承诺书，并每日上传出入口疫情防控人员登记情况、施工现场防疫消杀情况等图片；三是全面排查、随机抽查，督促建筑工地堵住防疫漏洞。市质监站、安监站累计开展疫情防控检查154项次，填写建筑工地疫情防控检查表154份。对海州区、高新区95项建筑工地疫情防控检查情况进行了两次对外通报，对存在问题的项目督促建筑工地立即整改并进行回复，确保存在问题全面整改到位。</w:t>
      </w:r>
      <w:r>
        <w:rPr>
          <w:rFonts w:hint="eastAsia"/>
          <w:lang w:val="en-US" w:eastAsia="zh-CN"/>
        </w:rPr>
        <w:t>质检站</w:t>
      </w:r>
      <w:r>
        <w:rPr>
          <w:rFonts w:hint="eastAsia"/>
        </w:rPr>
        <w:t>为进一步加强建筑工程质量安全事中事后监管，推进建筑工地施工现场关键岗位人员在岗履职，提升建筑工程施工现场质量安全管理水平，市质监站、安监站联合下发了《关于开展建筑工地项目经理、总监理工程师在岗履职专项检查的通知》，并组织开展专项检查。首先要求各在建工程参建单位围绕关键岗位人员是否与备案人员相符、在岗人员是否按照相应规定履职等内容切实开展自查并进行整改；其次，在企业自查的基础上，按照四不两直的方式，对各项目关键岗位人员在岗履职情况进行抽查。共抽查在建项目75项，下发整改通知单位27份，工程局部停工（暂停）通知书2份，发现项目经理、总监理工程师不能在岗履职情况3起，对3个责任主体项目负责人和企业负责人进行约谈。</w:t>
      </w:r>
      <w:r>
        <w:rPr>
          <w:rFonts w:hint="eastAsia"/>
          <w:lang w:val="en-US" w:eastAsia="zh-CN"/>
        </w:rPr>
        <w:t>2021年</w:t>
      </w:r>
      <w:r>
        <w:rPr>
          <w:rFonts w:hint="eastAsia"/>
        </w:rPr>
        <w:t>市区新受监工程310项，面积316.5万平方米，竣工工程163项，面积159.2万平方米；在建工程801项（单位工程），面积1005.1万平方米。（全市在建工程1324项，面积2856.8万平方米）</w:t>
      </w:r>
      <w:r>
        <w:rPr>
          <w:rFonts w:hint="eastAsia"/>
          <w:lang w:eastAsia="zh-CN"/>
        </w:rPr>
        <w:t>，</w:t>
      </w:r>
      <w:r>
        <w:rPr>
          <w:rFonts w:hint="eastAsia"/>
          <w:lang w:val="en-US" w:eastAsia="zh-CN"/>
        </w:rPr>
        <w:t>达到全部工程项目均在监管范围内</w:t>
      </w:r>
      <w:r>
        <w:rPr>
          <w:rFonts w:hint="eastAsia"/>
        </w:rPr>
        <w:t>。</w:t>
      </w:r>
      <w:r>
        <w:rPr>
          <w:rFonts w:hint="eastAsia"/>
          <w:lang w:val="en-US" w:eastAsia="zh-CN"/>
        </w:rPr>
        <w:t>2021年</w:t>
      </w:r>
      <w:r>
        <w:rPr>
          <w:rFonts w:hint="eastAsia"/>
        </w:rPr>
        <w:t>根据《关于明确连云区住房和城乡建设局建设工程监管权限的通知》（连建质安〔2021〕119号）文件要求，4月26日之后市质监站、安监站不再参与连云区建设工程的日常质量安全监督管理，但实际情况是赋权并未到位，造成多头监管，职责不明</w:t>
      </w:r>
      <w:r>
        <w:rPr>
          <w:rFonts w:hint="eastAsia"/>
          <w:lang w:eastAsia="zh-CN"/>
        </w:rPr>
        <w:t>，</w:t>
      </w:r>
      <w:r>
        <w:rPr>
          <w:rFonts w:hint="eastAsia"/>
          <w:lang w:val="en-US" w:eastAsia="zh-CN"/>
        </w:rPr>
        <w:t>没有达到年初预计目标。</w:t>
      </w:r>
    </w:p>
    <w:p>
      <w:pPr>
        <w:ind w:firstLine="560"/>
        <w:rPr>
          <w:rFonts w:hint="default" w:ascii="宋体" w:hAnsi="宋体" w:eastAsia="宋体" w:cs="宋体"/>
          <w:lang w:val="en-US" w:eastAsia="zh-CN"/>
        </w:rPr>
      </w:pPr>
      <w:r>
        <w:rPr>
          <w:rFonts w:hint="eastAsia" w:ascii="宋体" w:hAnsi="宋体" w:eastAsia="宋体" w:cs="宋体"/>
        </w:rPr>
        <w:t>3、职能三：抽查（抽测）涉及工程主体结构安全和主要使用功能的工程实体质量，发现问题责令整改，得</w:t>
      </w:r>
      <w:r>
        <w:rPr>
          <w:rFonts w:hint="eastAsia" w:ascii="宋体" w:hAnsi="宋体" w:cs="宋体"/>
          <w:lang w:val="en-US" w:eastAsia="zh-CN"/>
        </w:rPr>
        <w:t>24</w:t>
      </w:r>
      <w:r>
        <w:rPr>
          <w:rFonts w:hint="eastAsia" w:ascii="宋体" w:hAnsi="宋体" w:eastAsia="宋体" w:cs="宋体"/>
        </w:rPr>
        <w:t>分。</w:t>
      </w:r>
      <w:r>
        <w:rPr>
          <w:rFonts w:hint="eastAsia" w:ascii="宋体" w:hAnsi="宋体" w:cs="宋体"/>
          <w:lang w:val="en-US" w:eastAsia="zh-CN"/>
        </w:rPr>
        <w:t>2021年</w:t>
      </w:r>
      <w:r>
        <w:rPr>
          <w:rFonts w:hint="eastAsia" w:ascii="宋体" w:hAnsi="宋体" w:eastAsia="宋体" w:cs="宋体"/>
        </w:rPr>
        <w:t>针对各类质量问题，共发出整改通知书226份；针对工程重大质量隐患，共发出工程（局部）停工通知书13份，签发抽检通知书16份，约谈参建单位11批次</w:t>
      </w:r>
      <w:r>
        <w:rPr>
          <w:rFonts w:hint="eastAsia" w:ascii="宋体" w:hAnsi="宋体" w:cs="宋体"/>
          <w:lang w:eastAsia="zh-CN"/>
        </w:rPr>
        <w:t>。</w:t>
      </w:r>
      <w:r>
        <w:rPr>
          <w:rFonts w:hint="eastAsia" w:ascii="宋体" w:hAnsi="宋体" w:cs="宋体"/>
          <w:lang w:val="en-US" w:eastAsia="zh-CN"/>
        </w:rPr>
        <w:t>按季节开展各类专项检测，分别有：1月开展冬季施工专项检查，共抽查单位工程22个，发现质量问题46条，发出《工程质量整改通知书》15份，发出工程局部停工（暂停）通知书1份，对有关责任主体记不良行为记录3次；针对混凝土冬期施工的10个单位工程，随机抽测了18个混凝土构件强度；3月开展春季复工检查，共抽查单位工程32个，发现质量问题54条，发出《工程质量整改通知书》16份，发出《工程局部停工（暂停）通知书》3份；针对发现的违法违规行为提请行政处罚2起；针对混凝土冬季施工的14个单位工程，随机抽测了23个混凝土构件强度,对其中不符合要求的6个构件下发《工程质量监督抽检通知书》3份；5月，对进入施工现场的主要原材料、部品部件、节点连接质量等进行抽查和监督抽检，通过系统、规范、有效的监督管理，确保装配式建筑的工程质量。共抽查装配式项目18个，过程中发现质量问题53条，共发出《工程质量整改通知书》14份，发出《工程局部停工（暂停）通知书》1份；7月，重点检查了桩基焊接、钢筋焊接、混凝土浇筑、屋面外墙保温等方面内容。共抽查项目28个，发现质量问题78条，发出《工程质量整改通知书》12份，发出《工程局部停工（暂停）通知书》1份，约谈责任主体1批次。在全省率先开展水稳施工质量专项治理，2021年，结合日常监督抽查，检查市政项目36项，水稳混合料现场监督抽检3次。进一步规范建设工程质量监督抽测（检）行为，增强建设工程质量监督抽测（检）工作的科学性、权威性，下发了《关于进一步加强建设工程质量监督抽测（检）技术措施的通知》（连建质监【2021】7号）。对31个项目进行监督抽测，混凝土强度不符合要求的15个构件下发监督抽检通知书7份。小直径钢筋抽测22批次，结果均合格；防水卷材抽测6批次，结果1批次不符合要求；保温板抽测10批次，结果1批次不符合要求；轻质隔墙板抽测1批次，结果合格。开展建筑施工“质量月”活动。一是根据2021年建筑施工“质量月”活动安排，对市区在建项目的桩基质量检测情况进行了随机抽查，共抽查桩基检测项目8个，收集桩基检测影像资料8份，桩基质量检测处于受控状态。二是对市区在建项目的桩基接头加强连接施工质量情况进行专项检查。共检查桩基在建项目17个，收集桩基加强连接接头影像资料17份，共下发整改通知单4份，下发停工通知单1份。</w:t>
      </w:r>
    </w:p>
    <w:p>
      <w:pPr>
        <w:ind w:firstLine="560"/>
        <w:rPr>
          <w:rFonts w:hint="eastAsia" w:eastAsia="宋体"/>
          <w:lang w:eastAsia="zh-CN"/>
        </w:rPr>
      </w:pPr>
      <w:r>
        <w:rPr>
          <w:rFonts w:hint="eastAsia"/>
        </w:rPr>
        <w:t>4、</w:t>
      </w:r>
      <w:r>
        <w:t>职能</w:t>
      </w:r>
      <w:r>
        <w:rPr>
          <w:rFonts w:hint="eastAsia"/>
        </w:rPr>
        <w:t>四</w:t>
      </w:r>
      <w:r>
        <w:t>：</w:t>
      </w:r>
      <w:r>
        <w:rPr>
          <w:rFonts w:hint="eastAsia"/>
        </w:rPr>
        <w:t>对建设单位组织的工程竣工验收进行监督，向备案机关提交工程质量监督报告，得分</w:t>
      </w:r>
      <w:r>
        <w:rPr>
          <w:rFonts w:hint="eastAsia"/>
          <w:lang w:val="en-US" w:eastAsia="zh-CN"/>
        </w:rPr>
        <w:t>3</w:t>
      </w:r>
      <w:r>
        <w:rPr>
          <w:rFonts w:hint="eastAsia"/>
        </w:rPr>
        <w:t>分。</w:t>
      </w:r>
      <w:r>
        <w:rPr>
          <w:rFonts w:hint="eastAsia"/>
          <w:lang w:val="en-US" w:eastAsia="zh-CN"/>
        </w:rPr>
        <w:t>2021年对交房建筑进行监管时发现存在</w:t>
      </w:r>
      <w:r>
        <w:rPr>
          <w:rFonts w:hint="eastAsia"/>
        </w:rPr>
        <w:t>未按要求组织竣工验收擅自交房违规行为</w:t>
      </w:r>
      <w:r>
        <w:rPr>
          <w:rFonts w:hint="eastAsia"/>
          <w:lang w:eastAsia="zh-CN"/>
        </w:rPr>
        <w:t>，</w:t>
      </w:r>
      <w:r>
        <w:rPr>
          <w:rFonts w:hint="eastAsia"/>
        </w:rPr>
        <w:t>提请行政处罚5起</w:t>
      </w:r>
      <w:r>
        <w:rPr>
          <w:rFonts w:hint="eastAsia"/>
          <w:lang w:eastAsia="zh-CN"/>
        </w:rPr>
        <w:t>。</w:t>
      </w:r>
    </w:p>
    <w:p>
      <w:pPr>
        <w:ind w:firstLine="560"/>
        <w:rPr>
          <w:rFonts w:hint="default" w:eastAsia="宋体"/>
          <w:lang w:val="en-US" w:eastAsia="zh-CN"/>
        </w:rPr>
      </w:pPr>
      <w:r>
        <w:rPr>
          <w:rFonts w:hint="eastAsia"/>
        </w:rPr>
        <w:t>5、职能五：组织或者参与工程质量事故的调查处理，得分</w:t>
      </w:r>
      <w:r>
        <w:rPr>
          <w:rFonts w:hint="eastAsia"/>
          <w:lang w:val="en-US" w:eastAsia="zh-CN"/>
        </w:rPr>
        <w:t>2</w:t>
      </w:r>
      <w:r>
        <w:rPr>
          <w:rFonts w:hint="eastAsia"/>
        </w:rPr>
        <w:t>分。</w:t>
      </w:r>
      <w:r>
        <w:rPr>
          <w:rFonts w:hint="eastAsia"/>
          <w:lang w:val="en-US" w:eastAsia="zh-CN"/>
        </w:rPr>
        <w:t>2021年全市未发生各类质量事故。</w:t>
      </w:r>
    </w:p>
    <w:p>
      <w:pPr>
        <w:ind w:firstLine="560"/>
        <w:rPr>
          <w:rFonts w:hint="default" w:eastAsia="宋体"/>
          <w:lang w:val="en-US" w:eastAsia="zh-CN"/>
        </w:rPr>
      </w:pPr>
      <w:r>
        <w:rPr>
          <w:rFonts w:hint="eastAsia"/>
        </w:rPr>
        <w:t>6、职能六：对建设各方责任主体和有关机构违法、违规行为，按委托权限实施行政处罚或向建设主管部门提出处罚建议，得分</w:t>
      </w:r>
      <w:r>
        <w:rPr>
          <w:rFonts w:hint="eastAsia"/>
          <w:lang w:val="en-US" w:eastAsia="zh-CN"/>
        </w:rPr>
        <w:t>2</w:t>
      </w:r>
      <w:r>
        <w:rPr>
          <w:rFonts w:hint="eastAsia"/>
        </w:rPr>
        <w:t>分。</w:t>
      </w:r>
      <w:r>
        <w:rPr>
          <w:rFonts w:hint="eastAsia"/>
          <w:lang w:val="en-US" w:eastAsia="zh-CN"/>
        </w:rPr>
        <w:t>2021年质检站在工作中</w:t>
      </w:r>
      <w:r>
        <w:rPr>
          <w:rFonts w:hint="eastAsia"/>
        </w:rPr>
        <w:t>对4个责任主体进行了行政处罚；对未按要求组织竣工验收擅自交房违规行为提请行政处罚5起</w:t>
      </w:r>
      <w:r>
        <w:rPr>
          <w:rFonts w:hint="eastAsia"/>
          <w:lang w:eastAsia="zh-CN"/>
        </w:rPr>
        <w:t>；</w:t>
      </w:r>
      <w:r>
        <w:rPr>
          <w:rFonts w:hint="eastAsia"/>
          <w:lang w:val="en-US" w:eastAsia="zh-CN"/>
        </w:rPr>
        <w:t>在春节后复工前专项检查中针对发现的违法违规行为提请行政处罚2起。</w:t>
      </w:r>
    </w:p>
    <w:p>
      <w:pPr>
        <w:ind w:firstLine="560"/>
        <w:rPr>
          <w:rFonts w:hint="eastAsia" w:eastAsia="宋体"/>
          <w:lang w:eastAsia="zh-CN"/>
        </w:rPr>
      </w:pPr>
      <w:r>
        <w:rPr>
          <w:rFonts w:hint="eastAsia"/>
        </w:rPr>
        <w:t>7、职能七：总结质量监督工作经验，掌握本地区工程质量状况，定期向上级主管部门报告，得分</w:t>
      </w:r>
      <w:r>
        <w:rPr>
          <w:rFonts w:hint="eastAsia"/>
          <w:lang w:val="en-US" w:eastAsia="zh-CN"/>
        </w:rPr>
        <w:t>4</w:t>
      </w:r>
      <w:r>
        <w:rPr>
          <w:rFonts w:hint="eastAsia"/>
        </w:rPr>
        <w:t>分。</w:t>
      </w:r>
      <w:r>
        <w:rPr>
          <w:rFonts w:hint="eastAsia"/>
          <w:lang w:val="en-US" w:eastAsia="zh-CN"/>
        </w:rPr>
        <w:t>2021年质检站</w:t>
      </w:r>
      <w:r>
        <w:rPr>
          <w:rFonts w:hint="eastAsia"/>
        </w:rPr>
        <w:t>全面分析、准确把握我市建设工程质量形势，形成本地区2020年度工程质量报告</w:t>
      </w:r>
      <w:r>
        <w:rPr>
          <w:rFonts w:hint="eastAsia"/>
          <w:lang w:val="en-US" w:eastAsia="zh-CN"/>
        </w:rPr>
        <w:t>并</w:t>
      </w:r>
      <w:r>
        <w:rPr>
          <w:rFonts w:hint="eastAsia"/>
        </w:rPr>
        <w:t>向社会公布</w:t>
      </w:r>
      <w:r>
        <w:rPr>
          <w:rFonts w:hint="eastAsia"/>
          <w:lang w:eastAsia="zh-CN"/>
        </w:rPr>
        <w:t>。</w:t>
      </w:r>
      <w:r>
        <w:rPr>
          <w:rFonts w:hint="eastAsia"/>
          <w:lang w:val="en-US" w:eastAsia="zh-CN"/>
        </w:rPr>
        <w:t>同时</w:t>
      </w:r>
      <w:r>
        <w:rPr>
          <w:rFonts w:hint="eastAsia"/>
          <w:lang w:eastAsia="zh-CN"/>
        </w:rPr>
        <w:t>为了充分发挥监督效率，利用现有的监督资源，针对工程承建各方执行工程建设法律、法规和强制性标准执行情况即企业的信用情况，对每个工程项目承建各方的质量行为、实体质量、技术资料进行动态考核、评价，根据各项目的质量类别有针对性地采取相应的监管频率和措施，持续推进工程质量差别化管理。集中力量加强对重点项目、民生工程、技术复杂及重大危险源项目的质量监管力度，充分体现分类监管的优势，目前已完成前三季度分类监管公布。</w:t>
      </w:r>
    </w:p>
    <w:p>
      <w:pPr>
        <w:ind w:firstLine="560"/>
        <w:rPr>
          <w:rFonts w:hint="default" w:eastAsia="宋体"/>
          <w:lang w:val="en-US" w:eastAsia="zh-CN"/>
        </w:rPr>
      </w:pPr>
      <w:r>
        <w:rPr>
          <w:rFonts w:hint="eastAsia"/>
          <w:lang w:val="en-US" w:eastAsia="zh-CN"/>
        </w:rPr>
        <w:t>8、职能八：完成上级主管部门交办的其他工作，得分17分。严格落实“三会一课”制度。定期组织党员集中学习，全面加强党员干部思想政治建设、能力素质建设。支部共召开了5次支部大会、1次支委会、组织集中党日活动3次。加强党风廉政建设和防腐倡廉工作。两站支部联合召开党风廉政建设专题会议，邀请市纪委监委派驻第十纪检监察组有关同志到场指导，集中观看警示教育片。支部书记陈守松同志对党风廉政建设和反腐败工作提出具体要求：一是正确把握全面从严治党形势，守住廉洁底线；二是明确新要求把好角色定位，认真履职尽责；三是完成新任务，践行“一岗双责”。参加“学党史忆初心走基层”活动，调研瑞丰翔龙湾和景城名郡项目，了解责任主体关于工程质量安全形势、现状的想法，切实解决服务对象在建设过程中遇到的困难，加快项目的推进。根据市委组织部、局党委统一部署和支部党史学习教育方案计划，开展党史学习教育活动，成立党史学习领导机构，制定学习内容和时间安排，明确学习方法、形式及要求。按时组织开展“学党史、悟思想、办实事、开新局”、“守纪律知敬畏、强作风促发展”的党风廉政教育月、奋楫争先开新局 奋战百日夺首胜”等一系列专题党日活动，使全体党员做到学史明理、学史增信、学史崇德、学史力行，以实际行动迎接建党百年华诞。制定党员教育培训计划，表彰党员先进个人，推动党员干部履职尽责，顺利完成支部换届选举工作。省住房城乡建设厅《关于开展2021年建筑施工“质量月”活动通知》（苏建函质安[2021]413号）文件要求，于2021年9月26日上午在市建设培训中心召开“工程质量手册宣贯会”，会议组织市区在建工程项目建设、施工、监理单位项目负责人共约170人参加。通过现场解读手册的重点内容并研讨交流，从业人员在业务能力提升的同时，质量意识更得到了提高，为下步加大工程质量标准化管理的力度打下了坚实基础。按照省质监总站要求及站年度工作安排，采取指定站内监督人员、外聘江苏海洋大学教授及我市桩基检测专家组成专家团队，以集中授课方式对全站监督人员（包括连云区住建局质量安全监督人员）进行业务培训。提高县区质监人员整体业务能力，组织了四名业务骨干对灌南质监机构全体监督人员进行了集中授课培训。培训内容包括“市政工程监督要点、大型公建装饰装修工程监督要点、建筑安装工程监督要点、行政处罚案件实例讲解”等课题。授课人员结合工作实际，改变传统的培训方式，从单纯的规范、标准讲解转变为深入浅出的施工现场实例及执法案例的剖析与交流探讨，学习气氛浓厚，取得了很好效果。</w:t>
      </w:r>
    </w:p>
    <w:p>
      <w:pPr>
        <w:ind w:firstLine="560"/>
        <w:rPr>
          <w:rFonts w:hint="eastAsia" w:eastAsia="宋体"/>
          <w:lang w:eastAsia="zh-CN"/>
        </w:rPr>
      </w:pPr>
      <w:r>
        <w:rPr>
          <w:rFonts w:hint="eastAsia"/>
        </w:rPr>
        <w:t>9、履职效果</w:t>
      </w:r>
      <w:r>
        <w:rPr>
          <w:rFonts w:hint="eastAsia"/>
          <w:lang w:eastAsia="zh-CN"/>
        </w:rPr>
        <w:t>，</w:t>
      </w:r>
      <w:r>
        <w:rPr>
          <w:rFonts w:hint="eastAsia"/>
        </w:rPr>
        <w:t>得分</w:t>
      </w:r>
      <w:r>
        <w:rPr>
          <w:rFonts w:hint="eastAsia"/>
          <w:lang w:val="en-US" w:eastAsia="zh-CN"/>
        </w:rPr>
        <w:t>6</w:t>
      </w:r>
      <w:r>
        <w:rPr>
          <w:rFonts w:hint="eastAsia"/>
        </w:rPr>
        <w:t>分。</w:t>
      </w:r>
      <w:r>
        <w:rPr>
          <w:rFonts w:hint="eastAsia"/>
          <w:lang w:val="en-US" w:eastAsia="zh-CN"/>
        </w:rPr>
        <w:t>2021年</w:t>
      </w:r>
      <w:r>
        <w:rPr>
          <w:rFonts w:hint="eastAsia"/>
        </w:rPr>
        <w:t>共受理质量投诉1378起，已办结1371起，处置完成率99.5%。以集中授课方式对全站监督人员（包括连云区住建局质量安全监督人员）进行业务培训。听课人员加深了对规范标准要求的理解、夯实了理论基础，进一步提升了工程质量监督人员的业务素质和履职能力，全省监督人员能力考核综合得分全省排名进入前六。积极参与省厅质安处和省质监总站牵头组织的工程质量投诉和区域建筑工程质量评价、2020年度省工程质量白皮书编制两项课题，认真撰写责任章节内容，积极参与讨论研究，已完成相关编写任务</w:t>
      </w:r>
      <w:r>
        <w:rPr>
          <w:rFonts w:hint="eastAsia"/>
          <w:lang w:eastAsia="zh-CN"/>
        </w:rPr>
        <w:t>。</w:t>
      </w:r>
    </w:p>
    <w:p>
      <w:pPr>
        <w:pStyle w:val="2"/>
        <w:ind w:firstLine="643"/>
        <w:rPr>
          <w:bCs/>
          <w:szCs w:val="32"/>
        </w:rPr>
      </w:pPr>
      <w:bookmarkStart w:id="16" w:name="_Toc1315"/>
      <w:bookmarkStart w:id="17" w:name="_Toc19718"/>
      <w:r>
        <w:rPr>
          <w:rFonts w:hint="eastAsia"/>
        </w:rPr>
        <w:t>4、需要说明事项</w:t>
      </w:r>
      <w:bookmarkEnd w:id="16"/>
      <w:bookmarkEnd w:id="17"/>
    </w:p>
    <w:p>
      <w:pPr>
        <w:ind w:firstLine="560"/>
        <w:rPr>
          <w:b/>
          <w:bCs/>
          <w:szCs w:val="32"/>
        </w:rPr>
      </w:pPr>
      <w:r>
        <w:rPr>
          <w:rFonts w:hint="eastAsia"/>
        </w:rPr>
        <w:t>无需要说明事项。</w:t>
      </w:r>
    </w:p>
    <w:p>
      <w:pPr>
        <w:pStyle w:val="2"/>
        <w:ind w:firstLine="643"/>
        <w:rPr>
          <w:bCs/>
          <w:szCs w:val="32"/>
        </w:rPr>
      </w:pPr>
      <w:bookmarkStart w:id="18" w:name="_Toc13490"/>
      <w:bookmarkStart w:id="19" w:name="_Toc2103"/>
      <w:r>
        <w:rPr>
          <w:rFonts w:hint="eastAsia"/>
        </w:rPr>
        <w:t>5、绩效评价结论</w:t>
      </w:r>
      <w:bookmarkEnd w:id="18"/>
      <w:bookmarkEnd w:id="19"/>
    </w:p>
    <w:p>
      <w:pPr>
        <w:pStyle w:val="3"/>
        <w:ind w:firstLine="643"/>
        <w:rPr>
          <w:bCs/>
          <w:szCs w:val="32"/>
        </w:rPr>
      </w:pPr>
      <w:bookmarkStart w:id="20" w:name="_Toc14567"/>
      <w:bookmarkStart w:id="21" w:name="_Toc30669"/>
      <w:r>
        <w:rPr>
          <w:rFonts w:hint="eastAsia"/>
        </w:rPr>
        <w:t>5.1、绩效评价得分</w:t>
      </w:r>
      <w:bookmarkEnd w:id="20"/>
      <w:bookmarkEnd w:id="21"/>
    </w:p>
    <w:p>
      <w:pPr>
        <w:ind w:firstLine="560"/>
      </w:pPr>
      <w:r>
        <w:rPr>
          <w:rFonts w:hint="eastAsia"/>
        </w:rPr>
        <w:t>本次部门整体绩效得分为</w:t>
      </w:r>
      <w:r>
        <w:rPr>
          <w:rFonts w:hint="eastAsia"/>
          <w:lang w:val="en-US" w:eastAsia="zh-CN"/>
        </w:rPr>
        <w:t>94</w:t>
      </w:r>
      <w:r>
        <w:rPr>
          <w:rFonts w:hint="eastAsia"/>
        </w:rPr>
        <w:t>分。按照相关财政支出绩效自评暂行办法对本部门整体支出绩效进行了自查自评，通过加强组织领导和统筹协调，完善绩效评价指标体系，落实主体责任，强化运行跟踪和监控管理。</w:t>
      </w:r>
    </w:p>
    <w:p>
      <w:pPr>
        <w:pStyle w:val="3"/>
        <w:ind w:firstLine="643"/>
        <w:rPr>
          <w:rFonts w:hint="eastAsia"/>
        </w:rPr>
      </w:pPr>
      <w:bookmarkStart w:id="22" w:name="_Toc22163"/>
      <w:bookmarkStart w:id="23" w:name="_Toc26817"/>
      <w:r>
        <w:rPr>
          <w:rFonts w:hint="eastAsia"/>
        </w:rPr>
        <w:t>5.2、存在绩效问题</w:t>
      </w:r>
      <w:bookmarkEnd w:id="22"/>
      <w:bookmarkEnd w:id="23"/>
    </w:p>
    <w:p>
      <w:pPr>
        <w:rPr>
          <w:rFonts w:hint="eastAsia"/>
        </w:rPr>
      </w:pPr>
      <w:r>
        <w:rPr>
          <w:rFonts w:hint="eastAsia"/>
          <w:lang w:val="en-US" w:eastAsia="zh-CN"/>
        </w:rPr>
        <w:t>2021年</w:t>
      </w:r>
      <w:r>
        <w:rPr>
          <w:rFonts w:hint="eastAsia"/>
        </w:rPr>
        <w:t>整体绩效评价工作，在指标的设计、流程及人员的业务水平等方面还存有不足之处。第一，</w:t>
      </w:r>
      <w:r>
        <w:rPr>
          <w:rFonts w:hint="eastAsia"/>
          <w:lang w:val="en-US" w:eastAsia="zh-CN"/>
        </w:rPr>
        <w:t>符合</w:t>
      </w:r>
      <w:r>
        <w:rPr>
          <w:rFonts w:hint="eastAsia"/>
        </w:rPr>
        <w:t>本单位项目特点指标体系后续需要继续完善。第二，部分项目准备时间不足，导致评审往往在于形式或较为粗糙，与绩效目标不够贴合，造成绩效评估难度大。此外我单位分析方法较为单一，</w:t>
      </w:r>
      <w:r>
        <w:rPr>
          <w:rFonts w:hint="eastAsia"/>
          <w:lang w:val="en-US" w:eastAsia="zh-CN"/>
        </w:rPr>
        <w:t>对于定性的目标指标，评分拿捏不到位</w:t>
      </w:r>
      <w:r>
        <w:rPr>
          <w:rFonts w:hint="eastAsia"/>
        </w:rPr>
        <w:t>。</w:t>
      </w:r>
    </w:p>
    <w:p>
      <w:pPr>
        <w:pStyle w:val="2"/>
        <w:ind w:firstLine="643"/>
        <w:rPr>
          <w:bCs/>
          <w:szCs w:val="32"/>
        </w:rPr>
      </w:pPr>
      <w:bookmarkStart w:id="24" w:name="_Toc10671"/>
      <w:bookmarkStart w:id="25" w:name="_Toc6504"/>
      <w:r>
        <w:rPr>
          <w:rFonts w:hint="eastAsia"/>
          <w:sz w:val="36"/>
          <w:szCs w:val="36"/>
        </w:rPr>
        <w:t>6、经验教训与建议</w:t>
      </w:r>
      <w:bookmarkEnd w:id="24"/>
      <w:bookmarkEnd w:id="25"/>
    </w:p>
    <w:p>
      <w:pPr>
        <w:pStyle w:val="3"/>
        <w:ind w:firstLine="643"/>
        <w:rPr>
          <w:rFonts w:hint="eastAsia"/>
        </w:rPr>
      </w:pPr>
      <w:bookmarkStart w:id="26" w:name="_Toc29952"/>
      <w:bookmarkStart w:id="27" w:name="_Toc27393"/>
      <w:r>
        <w:rPr>
          <w:rFonts w:hint="eastAsia"/>
        </w:rPr>
        <w:t>6.1、经验教训</w:t>
      </w:r>
      <w:bookmarkEnd w:id="26"/>
      <w:bookmarkEnd w:id="27"/>
    </w:p>
    <w:p>
      <w:pPr>
        <w:rPr>
          <w:rFonts w:hint="default" w:eastAsia="宋体"/>
          <w:lang w:val="en-US" w:eastAsia="zh-CN"/>
        </w:rPr>
      </w:pPr>
      <w:r>
        <w:rPr>
          <w:rFonts w:hint="eastAsia"/>
        </w:rPr>
        <w:t>第一，加强绩效目标管理，根据本单位职能特点建立相对完善的指标体系。第二，完善项目的事前绩效评估机制，给予本单位项目充足的时间准备，项目评审不在流于形式，与绩效目标紧密契合。</w:t>
      </w:r>
      <w:r>
        <w:rPr>
          <w:rFonts w:hint="eastAsia"/>
          <w:lang w:val="en-US" w:eastAsia="zh-CN"/>
        </w:rPr>
        <w:t>第三，加强业务处室人员参与度，增强目标设置的专业性、合理性。</w:t>
      </w:r>
    </w:p>
    <w:p>
      <w:pPr>
        <w:pStyle w:val="3"/>
        <w:ind w:firstLine="643"/>
        <w:rPr>
          <w:bCs/>
          <w:szCs w:val="32"/>
        </w:rPr>
      </w:pPr>
      <w:bookmarkStart w:id="28" w:name="_Toc20220"/>
      <w:bookmarkStart w:id="29" w:name="_Toc7237"/>
      <w:r>
        <w:rPr>
          <w:rFonts w:hint="eastAsia"/>
        </w:rPr>
        <w:t>6.2、建议</w:t>
      </w:r>
      <w:bookmarkEnd w:id="28"/>
      <w:bookmarkEnd w:id="29"/>
    </w:p>
    <w:p>
      <w:pPr>
        <w:ind w:firstLine="560"/>
        <w:rPr>
          <w:rFonts w:hint="default"/>
          <w:lang w:val="en-US" w:eastAsia="zh-CN"/>
        </w:rPr>
      </w:pPr>
      <w:r>
        <w:rPr>
          <w:rFonts w:hint="default"/>
          <w:lang w:val="en-US" w:eastAsia="zh-CN"/>
        </w:rPr>
        <w:t>（一）组织相关人员进行学习培训、经验交流。结合实际情况提供政策指导。加强财务人员对新《预算法》、《政府会计准则》和《政府会计制度》等相关方面的业务培训学习，提升部门绩效管理能力。</w:t>
      </w:r>
    </w:p>
    <w:p>
      <w:pPr>
        <w:ind w:firstLine="560"/>
        <w:rPr>
          <w:rFonts w:hint="default"/>
          <w:lang w:val="en-US" w:eastAsia="zh-CN"/>
        </w:rPr>
        <w:sectPr>
          <w:footerReference r:id="rId7" w:type="default"/>
          <w:pgSz w:w="11906" w:h="16838"/>
          <w:pgMar w:top="1440" w:right="1800" w:bottom="1440" w:left="1800" w:header="851" w:footer="992" w:gutter="0"/>
          <w:pgNumType w:fmt="decimal" w:start="1"/>
          <w:cols w:space="425" w:num="1"/>
          <w:docGrid w:type="lines" w:linePitch="312" w:charSpace="0"/>
        </w:sectPr>
      </w:pPr>
      <w:r>
        <w:rPr>
          <w:rFonts w:hint="default"/>
          <w:lang w:val="en-US" w:eastAsia="zh-CN"/>
        </w:rPr>
        <w:t>（二）完善管理制度。按照市财政局有关要求，认真开展内部控制建设工作，通过查找内部管理中的薄弱环节，建立健全各项内部控制制度，更好地发挥内部控制在提升单位内部治理水平、规范内部权力运行、促进依法行政、推进廉政建设中的重要作用。</w:t>
      </w:r>
    </w:p>
    <w:p>
      <w:pPr>
        <w:ind w:left="0" w:leftChars="0" w:firstLine="0" w:firstLineChars="0"/>
        <w:rPr>
          <w:rFonts w:hint="eastAsia"/>
        </w:rPr>
      </w:pPr>
      <w:bookmarkStart w:id="30" w:name="_Toc10735"/>
      <w:bookmarkStart w:id="31" w:name="_Toc6764"/>
      <w:r>
        <w:rPr>
          <w:rFonts w:hint="eastAsia"/>
        </w:rPr>
        <w:t>附：部门整体绩效评价指标评分表</w:t>
      </w:r>
      <w:bookmarkEnd w:id="30"/>
      <w:bookmarkEnd w:id="31"/>
    </w:p>
    <w:tbl>
      <w:tblPr>
        <w:tblStyle w:val="7"/>
        <w:tblW w:w="145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0"/>
        <w:gridCol w:w="2822"/>
        <w:gridCol w:w="4704"/>
        <w:gridCol w:w="960"/>
        <w:gridCol w:w="1188"/>
        <w:gridCol w:w="1086"/>
        <w:gridCol w:w="9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4534" w:type="dxa"/>
            <w:gridSpan w:val="7"/>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连云港市建设工程质量监督站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一级指标</w:t>
            </w:r>
          </w:p>
        </w:tc>
        <w:tc>
          <w:tcPr>
            <w:tcW w:w="2822"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二级指标</w:t>
            </w: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三级指标</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权重</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目标值</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完成值</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00" w:hRule="atLeast"/>
          <w:jc w:val="center"/>
        </w:trPr>
        <w:tc>
          <w:tcPr>
            <w:tcW w:w="2820" w:type="dxa"/>
            <w:vMerge w:val="restart"/>
            <w:tcBorders>
              <w:top w:val="single" w:color="auto" w:sz="6" w:space="0"/>
              <w:left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内部管理（20分）</w:t>
            </w:r>
          </w:p>
        </w:tc>
        <w:tc>
          <w:tcPr>
            <w:tcW w:w="2822" w:type="dxa"/>
            <w:vMerge w:val="restart"/>
            <w:tcBorders>
              <w:top w:val="single" w:color="auto" w:sz="6" w:space="0"/>
              <w:left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决策管理</w:t>
            </w: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中长期规划</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有</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有</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年度工作计划</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有</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有</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restart"/>
            <w:tcBorders>
              <w:top w:val="single" w:color="auto" w:sz="6" w:space="0"/>
              <w:left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人员管理</w:t>
            </w: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财政供养人员控制情况</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合规</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合规</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人事管理制度建设</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健全</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健全</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工作人员学习与培训</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达标</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达标</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restart"/>
            <w:tcBorders>
              <w:top w:val="single" w:color="auto" w:sz="6" w:space="0"/>
              <w:left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资金及资产管理</w:t>
            </w: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财务管理规范性</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规范</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规范</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支出调整预算执行率</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专款专用率</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政府采购情况</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合规</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合规</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资产管理情况</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合规</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合规</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固定资产利用率</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restart"/>
            <w:tcBorders>
              <w:top w:val="single" w:color="auto" w:sz="6" w:space="0"/>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机构建设与内控管理</w:t>
            </w: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信息公开度</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工作风险控制</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健全</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健全</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档案管理</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规范</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规范</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违纪违法发生数</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0</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党建工作完成率</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网络及信息系统管理与运行</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安全稳定</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安全稳定</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部门工作创新</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有</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有</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内控报告编制</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有</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有</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820" w:type="dxa"/>
            <w:vMerge w:val="continue"/>
            <w:tcBorders>
              <w:left w:val="single" w:color="auto" w:sz="6" w:space="0"/>
              <w:bottom w:val="nil"/>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bottom w:val="nil"/>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年终考评等级</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一、二等奖</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一等奖</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2820" w:type="dxa"/>
            <w:vMerge w:val="restart"/>
            <w:tcBorders>
              <w:top w:val="single" w:color="auto" w:sz="6" w:space="0"/>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p>
          <w:p>
            <w:pPr>
              <w:spacing w:beforeLines="0" w:afterLine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部门履职（80分）</w:t>
            </w:r>
          </w:p>
        </w:tc>
        <w:tc>
          <w:tcPr>
            <w:tcW w:w="2822" w:type="dxa"/>
            <w:vMerge w:val="restart"/>
            <w:tcBorders>
              <w:top w:val="single" w:color="auto" w:sz="6" w:space="0"/>
              <w:left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职能1：检查工程质量法律、法规、规章和工程建设强制性标准的执行情况，参与制定本地区建设工程质量监督、检测工作的有关规定</w:t>
            </w: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目标1：整合质监站、安监站现有监督力量资源，形成1+1大于2的合力</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9"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目标2：联合下发《关于开展建筑工地项目经理、总监理工程师在岗履职专项检查的通知》</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bottom w:val="nil"/>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目标3：下发《关于进一步加强建设工程质量监督抽测（检）技术措施的通知》（连建质监【2021】7号）</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restart"/>
            <w:tcBorders>
              <w:top w:val="single" w:color="auto" w:sz="6" w:space="0"/>
              <w:left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职能2：受理建设单位办理工程质量监督手续，对施工现场工程建设各方责任主体和有关机构履行质量责任的质量行为进行监督抽查</w:t>
            </w: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目标1：开展疫情防控检查</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≥150项次</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154项次</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目标2：建筑工地项目经理、总监理工程师在岗履职专项检查</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≥70项</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75项</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目标3：全市工程受监管覆盖率</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bottom w:val="nil"/>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目标4：完成《关于明确连云区住房和城乡建设局建设工程监管权限的通知》（连建质安〔2021〕119号）通知要求进行事权下发</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80%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restart"/>
            <w:tcBorders>
              <w:top w:val="single" w:color="auto" w:sz="6" w:space="0"/>
              <w:left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职能3：抽查（抽测）涉及工程主体结构安全和主要使用功能的工程实体质量，发现问题责令整改。</w:t>
            </w: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目标1：工程重大质量隐患整治率</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目标2：开展冬季施工专项检查</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≥20个</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22个</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目标3：开展春季复工检查</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≥32个</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32个</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目标4：开展装配式建筑专项检查</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≥18个</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18个</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目标5：开展暑期雨季施工质量专项监督检查</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≥28个</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28个</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目标6：开展水稳施工质量专项治理</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目标7：开展建设工程质量监督抽测（检）</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≥30个</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31个</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目标8：开展省要求建筑施工“质量月”活动</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职能4：对建设单位组织的工程竣工验收进行监督，向备案机关提交工程质量监督报告</w:t>
            </w: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目标1：对交房前竣工验收进行监管</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100%覆盖</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tcBorders>
              <w:top w:val="single" w:color="auto" w:sz="6" w:space="0"/>
              <w:left w:val="single" w:color="auto" w:sz="6" w:space="0"/>
              <w:bottom w:val="nil"/>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职能5：组织或者参与工程质量事故的调查处理</w:t>
            </w: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目标1：参与各类质量事故（问题）处理的监督工作</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tcBorders>
              <w:top w:val="single" w:color="auto" w:sz="6" w:space="0"/>
              <w:left w:val="single" w:color="auto" w:sz="6" w:space="0"/>
              <w:bottom w:val="nil"/>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职能6:对建设各方责任主体和有关机构违法、违规行为，按委托权限实施行政处罚或向建设主管部门提出处罚建议</w:t>
            </w: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目标1：违法违规行为提请行政处罚</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restart"/>
            <w:tcBorders>
              <w:top w:val="single" w:color="auto" w:sz="6" w:space="0"/>
              <w:left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职能7：总结质量监督工作经验，掌握本地区工程质量状况，定期向上级主管部门报告</w:t>
            </w: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目标1：形成地区2020年度工程质量报告</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bottom w:val="nil"/>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目标2：完成全年分类监管公布</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75%</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restart"/>
            <w:tcBorders>
              <w:top w:val="single" w:color="auto" w:sz="6" w:space="0"/>
              <w:left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职能8：完成上级主管部门交办的其他工作</w:t>
            </w: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目标1：严格落实“三会一课”制度</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≥5次大会</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5次</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目标2：联合召开党风廉政建设专题会议</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目标3：参加“学党史忆初心走基层”活动</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目标4：根据支部党史学习教育方案计划，展党史学习教育活动</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8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目标5：完成支部换届选举工作</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目标6：召开“工程质量手册宣贯会”</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≥150人</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170人</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目标7：全站监督人员进行业务培训</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100%覆盖</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目标8：灌南质监机构全体监督人员进行授课培训</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restart"/>
            <w:tcBorders>
              <w:top w:val="single" w:color="auto" w:sz="6" w:space="0"/>
              <w:left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履职效果</w:t>
            </w: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目标1：质量投诉处置完成率</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99.50%</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2820"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目标2：全省监督人员能力考核综合得分全省排名</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前六名</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前六名</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2820" w:type="dxa"/>
            <w:vMerge w:val="continue"/>
            <w:tcBorders>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2822" w:type="dxa"/>
            <w:vMerge w:val="continue"/>
            <w:tcBorders>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目标3：参与工程质量投诉和区域建筑工程质量评价、2020年度省工程质量白皮书编制课题</w:t>
            </w: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完成</w:t>
            </w: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282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合计</w:t>
            </w:r>
          </w:p>
        </w:tc>
        <w:tc>
          <w:tcPr>
            <w:tcW w:w="2822"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470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9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100</w:t>
            </w:r>
          </w:p>
        </w:tc>
        <w:tc>
          <w:tcPr>
            <w:tcW w:w="1188"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1086"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宋体" w:hAnsi="宋体" w:eastAsia="宋体" w:cs="宋体"/>
                <w:color w:val="000000"/>
                <w:sz w:val="21"/>
                <w:szCs w:val="21"/>
              </w:rPr>
            </w:pPr>
          </w:p>
        </w:tc>
        <w:tc>
          <w:tcPr>
            <w:tcW w:w="954"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ind w:left="0" w:lef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94</w:t>
            </w:r>
          </w:p>
        </w:tc>
      </w:tr>
    </w:tbl>
    <w:p>
      <w:pPr>
        <w:ind w:left="0" w:leftChars="0" w:firstLine="0" w:firstLineChars="0"/>
        <w:rPr>
          <w:rFonts w:hint="eastAsia"/>
        </w:rPr>
      </w:pPr>
    </w:p>
    <w:p>
      <w:pPr>
        <w:ind w:firstLine="640"/>
        <w:rPr>
          <w:sz w:val="32"/>
          <w:szCs w:val="32"/>
        </w:rPr>
      </w:pPr>
    </w:p>
    <w:sectPr>
      <w:footerReference r:id="rId8" w:type="default"/>
      <w:pgSz w:w="16838" w:h="11906" w:orient="landscape"/>
      <w:pgMar w:top="1800" w:right="1440" w:bottom="1800" w:left="144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ì?">
    <w:altName w:val="宋体"/>
    <w:panose1 w:val="00000000000000000000"/>
    <w:charset w:val="86"/>
    <w:family w:val="auto"/>
    <w:pitch w:val="default"/>
    <w:sig w:usb0="00000000" w:usb1="00000000" w:usb2="00000000" w:usb3="00000000" w:csb0="00040000" w:csb1="00000000"/>
  </w:font>
  <w:font w:name="Arial">
    <w:panose1 w:val="020B0604020202020204"/>
    <w:charset w:val="86"/>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pict>
        <v:shape id="_x0000_s1028" o:spid="_x0000_s102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v:imagedata o:title=""/>
          <o:lock v:ext="edit" aspectratio="f"/>
          <v:textbox inset="0mm,0mm,0mm,0mm" style="mso-fit-shape-to-text:t;">
            <w:txbxContent>
              <w:p>
                <w:pPr>
                  <w:pStyle w:val="5"/>
                  <w:ind w:firstLine="360"/>
                </w:pPr>
                <w:r>
                  <w:fldChar w:fldCharType="begin"/>
                </w:r>
                <w:r>
                  <w:instrText xml:space="preserve"> PAGE  \* MERGEFORMAT </w:instrText>
                </w:r>
                <w:r>
                  <w:fldChar w:fldCharType="separate"/>
                </w:r>
                <w:r>
                  <w:t>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rPr>
        <w:sz w:val="18"/>
      </w:rPr>
      <w:pict>
        <v:shape id="_x0000_s1030" o:spid="_x0000_s103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35</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I1Yjk0MWE0ZjA2ZTU2NmQyN2NiZmE1ZTBkMGY2MWUifQ=="/>
  </w:docVars>
  <w:rsids>
    <w:rsidRoot w:val="00172A27"/>
    <w:rsid w:val="00045095"/>
    <w:rsid w:val="000A3658"/>
    <w:rsid w:val="00172A27"/>
    <w:rsid w:val="0028280A"/>
    <w:rsid w:val="002A4F56"/>
    <w:rsid w:val="004134D9"/>
    <w:rsid w:val="00821D2B"/>
    <w:rsid w:val="00B0498D"/>
    <w:rsid w:val="00C11696"/>
    <w:rsid w:val="00D576E4"/>
    <w:rsid w:val="00DE4BE5"/>
    <w:rsid w:val="00DF58D4"/>
    <w:rsid w:val="00F923F9"/>
    <w:rsid w:val="01C901A1"/>
    <w:rsid w:val="021A3740"/>
    <w:rsid w:val="02693733"/>
    <w:rsid w:val="02912BEC"/>
    <w:rsid w:val="04AA54A1"/>
    <w:rsid w:val="04FB7680"/>
    <w:rsid w:val="05224A47"/>
    <w:rsid w:val="053A3164"/>
    <w:rsid w:val="05F84A9F"/>
    <w:rsid w:val="074402CA"/>
    <w:rsid w:val="08ED2854"/>
    <w:rsid w:val="094F0C92"/>
    <w:rsid w:val="09615163"/>
    <w:rsid w:val="0A3F1B1B"/>
    <w:rsid w:val="0B193467"/>
    <w:rsid w:val="0B3309B7"/>
    <w:rsid w:val="0BE341F2"/>
    <w:rsid w:val="0C952804"/>
    <w:rsid w:val="0D6D2558"/>
    <w:rsid w:val="1001302C"/>
    <w:rsid w:val="109C2F25"/>
    <w:rsid w:val="10FB0EEF"/>
    <w:rsid w:val="152930B5"/>
    <w:rsid w:val="172D2B29"/>
    <w:rsid w:val="18B84674"/>
    <w:rsid w:val="196A7602"/>
    <w:rsid w:val="1A4563DB"/>
    <w:rsid w:val="1A516B2E"/>
    <w:rsid w:val="1ABB3C36"/>
    <w:rsid w:val="1CA47E81"/>
    <w:rsid w:val="1DF35965"/>
    <w:rsid w:val="1E34475E"/>
    <w:rsid w:val="1EA77F37"/>
    <w:rsid w:val="20D12411"/>
    <w:rsid w:val="224555C1"/>
    <w:rsid w:val="226A61B0"/>
    <w:rsid w:val="227315D1"/>
    <w:rsid w:val="227B6E3E"/>
    <w:rsid w:val="22FF35CB"/>
    <w:rsid w:val="24134E54"/>
    <w:rsid w:val="26692F9C"/>
    <w:rsid w:val="2675172F"/>
    <w:rsid w:val="27550B20"/>
    <w:rsid w:val="27850FEB"/>
    <w:rsid w:val="27B506FD"/>
    <w:rsid w:val="2A3E27A2"/>
    <w:rsid w:val="2A506E02"/>
    <w:rsid w:val="2B33475A"/>
    <w:rsid w:val="2C66553C"/>
    <w:rsid w:val="2D4B2309"/>
    <w:rsid w:val="2D6E3C09"/>
    <w:rsid w:val="2E5B3DBF"/>
    <w:rsid w:val="2F522CD5"/>
    <w:rsid w:val="2FCE2CA3"/>
    <w:rsid w:val="30271214"/>
    <w:rsid w:val="319E404D"/>
    <w:rsid w:val="32E41096"/>
    <w:rsid w:val="34BA37F6"/>
    <w:rsid w:val="3584453A"/>
    <w:rsid w:val="367479D5"/>
    <w:rsid w:val="389E48A6"/>
    <w:rsid w:val="38EA21D0"/>
    <w:rsid w:val="38F117B0"/>
    <w:rsid w:val="3AAC0083"/>
    <w:rsid w:val="3C7C5F3B"/>
    <w:rsid w:val="3DFC0A8C"/>
    <w:rsid w:val="3E2D6701"/>
    <w:rsid w:val="3E821842"/>
    <w:rsid w:val="43B35E32"/>
    <w:rsid w:val="442869F9"/>
    <w:rsid w:val="443B5BBB"/>
    <w:rsid w:val="453C2005"/>
    <w:rsid w:val="45A9729F"/>
    <w:rsid w:val="467D4684"/>
    <w:rsid w:val="4715598F"/>
    <w:rsid w:val="4AF0127D"/>
    <w:rsid w:val="4EDB463D"/>
    <w:rsid w:val="4FE74DC9"/>
    <w:rsid w:val="503D2C09"/>
    <w:rsid w:val="51DC582D"/>
    <w:rsid w:val="53696FBB"/>
    <w:rsid w:val="5397282A"/>
    <w:rsid w:val="54410CAC"/>
    <w:rsid w:val="56694C24"/>
    <w:rsid w:val="56950233"/>
    <w:rsid w:val="5760060E"/>
    <w:rsid w:val="57770C7B"/>
    <w:rsid w:val="585A2170"/>
    <w:rsid w:val="587A4999"/>
    <w:rsid w:val="59356AD9"/>
    <w:rsid w:val="59A41605"/>
    <w:rsid w:val="5B8F75BC"/>
    <w:rsid w:val="5BCF1086"/>
    <w:rsid w:val="5D0460D0"/>
    <w:rsid w:val="5DAC5E5F"/>
    <w:rsid w:val="5DFB41B8"/>
    <w:rsid w:val="5E565A8E"/>
    <w:rsid w:val="5EB804F7"/>
    <w:rsid w:val="5F607E16"/>
    <w:rsid w:val="60BA0101"/>
    <w:rsid w:val="643A375C"/>
    <w:rsid w:val="66CD02B1"/>
    <w:rsid w:val="69AB3F71"/>
    <w:rsid w:val="6B79280B"/>
    <w:rsid w:val="6BBB556A"/>
    <w:rsid w:val="6BF63CD3"/>
    <w:rsid w:val="6C981E56"/>
    <w:rsid w:val="6D713DD1"/>
    <w:rsid w:val="701E34B3"/>
    <w:rsid w:val="7092012E"/>
    <w:rsid w:val="70DC1E23"/>
    <w:rsid w:val="727662A7"/>
    <w:rsid w:val="72A53A36"/>
    <w:rsid w:val="73FF670B"/>
    <w:rsid w:val="753C7334"/>
    <w:rsid w:val="78104AA8"/>
    <w:rsid w:val="784F737E"/>
    <w:rsid w:val="78AC657F"/>
    <w:rsid w:val="78AF42C1"/>
    <w:rsid w:val="78D855C6"/>
    <w:rsid w:val="7AFD2358"/>
    <w:rsid w:val="7B0A3E91"/>
    <w:rsid w:val="7B9F2B75"/>
    <w:rsid w:val="7BB322B1"/>
    <w:rsid w:val="7CE00EED"/>
    <w:rsid w:val="7CF16C56"/>
    <w:rsid w:val="7D2232B3"/>
    <w:rsid w:val="7E2C0E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eastAsia="宋体" w:asciiTheme="minorHAnsi" w:hAnsiTheme="minorHAnsi" w:cstheme="minorBidi"/>
      <w:kern w:val="2"/>
      <w:sz w:val="28"/>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32"/>
    </w:rPr>
  </w:style>
  <w:style w:type="paragraph" w:styleId="3">
    <w:name w:val="heading 2"/>
    <w:basedOn w:val="1"/>
    <w:next w:val="1"/>
    <w:unhideWhenUsed/>
    <w:qFormat/>
    <w:uiPriority w:val="0"/>
    <w:pPr>
      <w:keepNext/>
      <w:keepLines/>
      <w:spacing w:line="413" w:lineRule="auto"/>
      <w:outlineLvl w:val="1"/>
    </w:pPr>
    <w:rPr>
      <w:rFonts w:ascii="Arial" w:hAnsi="Arial"/>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3"/>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Body text|1"/>
    <w:basedOn w:val="1"/>
    <w:qFormat/>
    <w:uiPriority w:val="0"/>
    <w:pPr>
      <w:spacing w:line="391" w:lineRule="auto"/>
      <w:ind w:firstLine="400"/>
    </w:pPr>
    <w:rPr>
      <w:rFonts w:ascii="宋体" w:hAnsi="宋体" w:cs="宋体"/>
      <w:sz w:val="30"/>
      <w:szCs w:val="30"/>
      <w:lang w:val="zh-TW" w:eastAsia="zh-TW" w:bidi="zh-TW"/>
    </w:rPr>
  </w:style>
  <w:style w:type="paragraph" w:customStyle="1" w:styleId="10">
    <w:name w:val="WPSOffice手动目录 1"/>
    <w:qFormat/>
    <w:uiPriority w:val="0"/>
    <w:rPr>
      <w:rFonts w:asciiTheme="minorHAnsi" w:hAnsiTheme="minorHAnsi" w:eastAsiaTheme="minorEastAsia" w:cstheme="minorBidi"/>
      <w:lang w:val="en-US" w:eastAsia="zh-CN" w:bidi="ar-SA"/>
    </w:rPr>
  </w:style>
  <w:style w:type="paragraph" w:customStyle="1" w:styleId="11">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12">
    <w:name w:val="Table Paragraph"/>
    <w:basedOn w:val="1"/>
    <w:unhideWhenUsed/>
    <w:qFormat/>
    <w:uiPriority w:val="1"/>
    <w:rPr>
      <w:rFonts w:hint="eastAsia"/>
      <w:sz w:val="22"/>
      <w:szCs w:val="22"/>
    </w:rPr>
  </w:style>
  <w:style w:type="character" w:customStyle="1" w:styleId="13">
    <w:name w:val="批注框文本 Char"/>
    <w:basedOn w:val="8"/>
    <w:link w:val="4"/>
    <w:qFormat/>
    <w:uiPriority w:val="0"/>
    <w:rPr>
      <w:rFonts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8"/>
    <customShpInfo spid="_x0000_s103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9079</Words>
  <Characters>9576</Characters>
  <Lines>126</Lines>
  <Paragraphs>35</Paragraphs>
  <TotalTime>140</TotalTime>
  <ScaleCrop>false</ScaleCrop>
  <LinksUpToDate>false</LinksUpToDate>
  <CharactersWithSpaces>9681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2021-07-16T01:00:00Z</dcterms:created>
  <dc:creator>vivian</dc:creator>
  <cp:lastModifiedBy>阙半</cp:lastModifiedBy>
  <cp:lastPrinted>2021-08-26T08:33:00Z</cp:lastPrinted>
  <dcterms:modified xsi:type="dcterms:W3CDTF">2022-09-24T09:52:24Z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A3F86071CA08489BAEDF83F244C88BE1</vt:lpwstr>
  </property>
</Properties>
</file>