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宋体" w:hAnsi="宋体" w:cs="宋体"/>
          <w:sz w:val="52"/>
          <w:szCs w:val="52"/>
        </w:rPr>
      </w:pPr>
    </w:p>
    <w:p>
      <w:pPr>
        <w:ind w:firstLine="0" w:firstLineChars="0"/>
        <w:jc w:val="center"/>
        <w:rPr>
          <w:rFonts w:ascii="宋体" w:hAnsi="宋体" w:cs="宋体"/>
          <w:sz w:val="52"/>
          <w:szCs w:val="52"/>
        </w:rPr>
      </w:pPr>
    </w:p>
    <w:p>
      <w:pPr>
        <w:ind w:firstLine="0" w:firstLineChars="0"/>
        <w:jc w:val="center"/>
        <w:rPr>
          <w:rFonts w:ascii="宋体" w:hAnsi="宋体" w:cs="宋体"/>
          <w:sz w:val="52"/>
          <w:szCs w:val="52"/>
        </w:rPr>
      </w:pPr>
    </w:p>
    <w:p>
      <w:pPr>
        <w:ind w:firstLine="0" w:firstLineChars="0"/>
        <w:jc w:val="center"/>
        <w:rPr>
          <w:rFonts w:hint="eastAsia" w:asciiTheme="majorEastAsia" w:hAnsiTheme="majorEastAsia" w:eastAsiaTheme="majorEastAsia" w:cstheme="majorEastAsia"/>
          <w:sz w:val="52"/>
          <w:szCs w:val="52"/>
        </w:rPr>
      </w:pPr>
    </w:p>
    <w:p>
      <w:pPr>
        <w:ind w:firstLine="0" w:firstLineChars="0"/>
        <w:jc w:val="center"/>
        <w:rPr>
          <w:rFonts w:hint="default" w:asciiTheme="majorEastAsia" w:hAnsiTheme="majorEastAsia" w:eastAsiaTheme="majorEastAsia" w:cstheme="majorEastAsia"/>
          <w:sz w:val="52"/>
          <w:szCs w:val="52"/>
          <w:lang w:val="en-US"/>
        </w:rPr>
      </w:pPr>
      <w:r>
        <w:rPr>
          <w:rFonts w:hint="eastAsia" w:asciiTheme="majorEastAsia" w:hAnsiTheme="majorEastAsia" w:eastAsiaTheme="majorEastAsia" w:cstheme="majorEastAsia"/>
          <w:sz w:val="52"/>
          <w:szCs w:val="52"/>
          <w:lang w:val="en-US" w:eastAsia="zh-CN"/>
        </w:rPr>
        <w:t>连云港市散装水泥办公室</w:t>
      </w:r>
    </w:p>
    <w:p>
      <w:pPr>
        <w:ind w:firstLine="0" w:firstLineChars="0"/>
        <w:jc w:val="center"/>
        <w:rPr>
          <w:rFonts w:hint="eastAsia" w:asciiTheme="majorEastAsia" w:hAnsiTheme="majorEastAsia" w:eastAsiaTheme="majorEastAsia" w:cstheme="majorEastAsia"/>
          <w:sz w:val="52"/>
          <w:szCs w:val="52"/>
        </w:rPr>
      </w:pPr>
      <w:r>
        <w:rPr>
          <w:rFonts w:hint="eastAsia" w:asciiTheme="majorEastAsia" w:hAnsiTheme="majorEastAsia" w:eastAsiaTheme="majorEastAsia" w:cstheme="majorEastAsia"/>
          <w:sz w:val="52"/>
          <w:szCs w:val="52"/>
        </w:rPr>
        <w:t>整体绩效评价报告</w:t>
      </w:r>
    </w:p>
    <w:p>
      <w:pPr>
        <w:ind w:firstLine="0" w:firstLineChars="0"/>
        <w:jc w:val="center"/>
        <w:rPr>
          <w:rFonts w:ascii="宋体" w:hAnsi="宋体" w:cs="宋体"/>
          <w:sz w:val="52"/>
          <w:szCs w:val="52"/>
        </w:rPr>
      </w:pPr>
    </w:p>
    <w:p>
      <w:pPr>
        <w:ind w:firstLine="0" w:firstLineChars="0"/>
        <w:jc w:val="center"/>
        <w:rPr>
          <w:rFonts w:ascii="宋体" w:hAnsi="宋体" w:cs="宋体"/>
          <w:sz w:val="52"/>
          <w:szCs w:val="52"/>
        </w:rPr>
      </w:pPr>
    </w:p>
    <w:p>
      <w:pPr>
        <w:ind w:firstLine="1040"/>
        <w:jc w:val="center"/>
        <w:rPr>
          <w:rFonts w:ascii="宋体" w:hAnsi="宋体" w:cs="宋体"/>
          <w:sz w:val="52"/>
          <w:szCs w:val="52"/>
        </w:rPr>
      </w:pPr>
    </w:p>
    <w:p>
      <w:pPr>
        <w:ind w:firstLine="1040"/>
        <w:jc w:val="center"/>
        <w:rPr>
          <w:rFonts w:ascii="宋体" w:hAnsi="宋体" w:cs="宋体"/>
          <w:sz w:val="52"/>
          <w:szCs w:val="52"/>
        </w:rPr>
      </w:pPr>
    </w:p>
    <w:p>
      <w:pPr>
        <w:ind w:firstLine="1040"/>
        <w:rPr>
          <w:rFonts w:ascii="宋体" w:hAnsi="宋体" w:cs="宋体"/>
          <w:sz w:val="52"/>
          <w:szCs w:val="52"/>
        </w:rPr>
      </w:pPr>
    </w:p>
    <w:p>
      <w:pPr>
        <w:ind w:firstLine="1040"/>
        <w:rPr>
          <w:rFonts w:ascii="宋体" w:hAnsi="宋体" w:cs="宋体"/>
          <w:sz w:val="52"/>
          <w:szCs w:val="52"/>
        </w:rPr>
      </w:pPr>
    </w:p>
    <w:p>
      <w:pPr>
        <w:ind w:firstLine="1040"/>
        <w:rPr>
          <w:rFonts w:ascii="宋体" w:hAnsi="宋体" w:cs="宋体"/>
          <w:sz w:val="52"/>
          <w:szCs w:val="52"/>
        </w:rPr>
      </w:pPr>
    </w:p>
    <w:p>
      <w:pPr>
        <w:widowControl/>
        <w:jc w:val="center"/>
        <w:rPr>
          <w:rFonts w:hint="default" w:asciiTheme="minorEastAsia" w:hAnsiTheme="minorEastAsia" w:eastAsiaTheme="minorEastAsia" w:cstheme="minorEastAsia"/>
          <w:color w:val="000000"/>
          <w:kern w:val="0"/>
          <w:sz w:val="32"/>
          <w:szCs w:val="32"/>
          <w:lang w:val="en-US" w:eastAsia="zh-CN"/>
        </w:rPr>
      </w:pPr>
      <w:r>
        <w:rPr>
          <w:rFonts w:hint="eastAsia" w:asciiTheme="minorEastAsia" w:hAnsiTheme="minorEastAsia" w:eastAsiaTheme="minorEastAsia" w:cstheme="minorEastAsia"/>
          <w:color w:val="000000"/>
          <w:kern w:val="0"/>
          <w:sz w:val="32"/>
          <w:szCs w:val="32"/>
        </w:rPr>
        <w:t>评价单位：</w:t>
      </w:r>
      <w:r>
        <w:rPr>
          <w:rFonts w:hint="eastAsia" w:asciiTheme="minorEastAsia" w:hAnsiTheme="minorEastAsia" w:eastAsiaTheme="minorEastAsia" w:cstheme="minorEastAsia"/>
          <w:color w:val="000000"/>
          <w:kern w:val="0"/>
          <w:sz w:val="32"/>
          <w:szCs w:val="32"/>
          <w:lang w:val="en-US" w:eastAsia="zh-CN"/>
        </w:rPr>
        <w:t>连云港市散装水泥办公室</w:t>
      </w:r>
    </w:p>
    <w:p>
      <w:pPr>
        <w:widowControl/>
        <w:jc w:val="center"/>
        <w:rPr>
          <w:rFonts w:hint="eastAsia" w:asciiTheme="minorEastAsia" w:hAnsiTheme="minorEastAsia" w:eastAsiaTheme="minorEastAsia" w:cstheme="minorEastAsia"/>
          <w:color w:val="000000"/>
          <w:kern w:val="0"/>
          <w:sz w:val="32"/>
          <w:szCs w:val="32"/>
          <w:highlight w:val="none"/>
        </w:rPr>
      </w:pPr>
      <w:r>
        <w:rPr>
          <w:rFonts w:hint="eastAsia" w:asciiTheme="minorEastAsia" w:hAnsiTheme="minorEastAsia" w:eastAsiaTheme="minorEastAsia" w:cstheme="minorEastAsia"/>
          <w:color w:val="000000"/>
          <w:kern w:val="0"/>
          <w:sz w:val="32"/>
          <w:szCs w:val="32"/>
          <w:highlight w:val="none"/>
        </w:rPr>
        <w:t>报告时间：</w:t>
      </w:r>
      <w:r>
        <w:rPr>
          <w:rFonts w:hint="eastAsia" w:asciiTheme="minorEastAsia" w:hAnsiTheme="minorEastAsia" w:eastAsiaTheme="minorEastAsia" w:cstheme="minorEastAsia"/>
          <w:color w:val="000000"/>
          <w:kern w:val="0"/>
          <w:sz w:val="32"/>
          <w:szCs w:val="32"/>
          <w:highlight w:val="none"/>
          <w:u w:val="none"/>
          <w:lang w:val="en-US" w:eastAsia="zh-CN"/>
        </w:rPr>
        <w:t>2022</w:t>
      </w:r>
      <w:r>
        <w:rPr>
          <w:rFonts w:hint="eastAsia" w:asciiTheme="minorEastAsia" w:hAnsiTheme="minorEastAsia" w:eastAsiaTheme="minorEastAsia" w:cstheme="minorEastAsia"/>
          <w:color w:val="000000"/>
          <w:kern w:val="0"/>
          <w:sz w:val="32"/>
          <w:szCs w:val="32"/>
          <w:highlight w:val="none"/>
        </w:rPr>
        <w:t>年</w:t>
      </w:r>
      <w:r>
        <w:rPr>
          <w:rFonts w:hint="eastAsia" w:asciiTheme="minorEastAsia" w:hAnsiTheme="minorEastAsia" w:eastAsiaTheme="minorEastAsia" w:cstheme="minorEastAsia"/>
          <w:color w:val="000000"/>
          <w:kern w:val="0"/>
          <w:sz w:val="32"/>
          <w:szCs w:val="32"/>
          <w:highlight w:val="none"/>
          <w:lang w:val="en-US" w:eastAsia="zh-CN"/>
        </w:rPr>
        <w:t>9</w:t>
      </w:r>
      <w:r>
        <w:rPr>
          <w:rFonts w:hint="eastAsia" w:asciiTheme="minorEastAsia" w:hAnsiTheme="minorEastAsia" w:eastAsiaTheme="minorEastAsia" w:cstheme="minorEastAsia"/>
          <w:color w:val="000000"/>
          <w:kern w:val="0"/>
          <w:sz w:val="32"/>
          <w:szCs w:val="32"/>
          <w:highlight w:val="none"/>
        </w:rPr>
        <w:t>月</w:t>
      </w:r>
    </w:p>
    <w:p>
      <w:pPr>
        <w:widowControl/>
        <w:jc w:val="center"/>
        <w:rPr>
          <w:rFonts w:hint="eastAsia" w:asciiTheme="minorEastAsia" w:hAnsiTheme="minorEastAsia" w:eastAsiaTheme="minorEastAsia" w:cstheme="minorEastAsia"/>
          <w:color w:val="000000"/>
          <w:kern w:val="0"/>
          <w:sz w:val="32"/>
          <w:szCs w:val="32"/>
          <w:highlight w:val="none"/>
        </w:rPr>
      </w:pPr>
    </w:p>
    <w:p>
      <w:pPr>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lang w:eastAsia="zh-CN"/>
        </w:rPr>
        <w:t>绩效</w:t>
      </w:r>
      <w:r>
        <w:rPr>
          <w:rFonts w:hint="eastAsia" w:ascii="宋体" w:hAnsi="宋体" w:eastAsia="宋体" w:cs="宋体"/>
          <w:b/>
          <w:bCs/>
          <w:color w:val="auto"/>
          <w:sz w:val="44"/>
          <w:szCs w:val="44"/>
        </w:rPr>
        <w:t>评价小组</w:t>
      </w:r>
    </w:p>
    <w:p>
      <w:pPr>
        <w:jc w:val="center"/>
        <w:rPr>
          <w:rFonts w:hint="default" w:ascii="Times New Roman" w:hAnsi="Times New Roman" w:eastAsia="方正小标宋简体" w:cs="Times New Roman"/>
          <w:b/>
          <w:bCs/>
          <w:sz w:val="44"/>
          <w:szCs w:val="44"/>
        </w:rPr>
      </w:pPr>
    </w:p>
    <w:p>
      <w:pPr>
        <w:rPr>
          <w:rFonts w:hint="eastAsia" w:ascii="宋体" w:hAnsi="宋体" w:eastAsia="宋体" w:cs="宋体"/>
          <w:b w:val="0"/>
          <w:bCs w:val="0"/>
          <w:sz w:val="32"/>
          <w:szCs w:val="32"/>
          <w:u w:val="none"/>
          <w:lang w:eastAsia="zh-CN"/>
        </w:rPr>
      </w:pPr>
      <w:r>
        <w:rPr>
          <w:rFonts w:hint="eastAsia" w:ascii="宋体" w:hAnsi="宋体" w:eastAsia="宋体" w:cs="宋体"/>
          <w:b/>
          <w:bCs/>
          <w:sz w:val="32"/>
          <w:szCs w:val="32"/>
        </w:rPr>
        <w:t>组</w:t>
      </w:r>
      <w:r>
        <w:rPr>
          <w:rFonts w:hint="eastAsia" w:ascii="宋体" w:hAnsi="宋体" w:eastAsia="宋体" w:cs="宋体"/>
          <w:b/>
          <w:bCs/>
          <w:sz w:val="32"/>
          <w:szCs w:val="32"/>
          <w:lang w:val="en-US" w:eastAsia="zh-CN"/>
        </w:rPr>
        <w:t xml:space="preserve">  </w:t>
      </w:r>
      <w:r>
        <w:rPr>
          <w:rFonts w:hint="eastAsia" w:ascii="宋体" w:hAnsi="宋体" w:eastAsia="宋体" w:cs="宋体"/>
          <w:b/>
          <w:bCs/>
          <w:sz w:val="32"/>
          <w:szCs w:val="32"/>
        </w:rPr>
        <w:t>长:</w:t>
      </w:r>
      <w:r>
        <w:rPr>
          <w:rFonts w:hint="eastAsia" w:ascii="宋体" w:hAnsi="宋体" w:cs="宋体"/>
          <w:b w:val="0"/>
          <w:bCs w:val="0"/>
          <w:sz w:val="32"/>
          <w:szCs w:val="32"/>
          <w:lang w:val="en-US" w:eastAsia="zh-CN"/>
        </w:rPr>
        <w:t>詹长林</w:t>
      </w:r>
    </w:p>
    <w:p>
      <w:pPr>
        <w:rPr>
          <w:rFonts w:hint="eastAsia" w:ascii="宋体" w:hAnsi="宋体" w:eastAsia="宋体" w:cs="宋体"/>
          <w:b w:val="0"/>
          <w:bCs w:val="0"/>
          <w:sz w:val="32"/>
          <w:szCs w:val="32"/>
          <w:u w:val="none"/>
          <w:lang w:eastAsia="zh-CN"/>
        </w:rPr>
      </w:pPr>
      <w:r>
        <w:rPr>
          <w:rFonts w:hint="eastAsia" w:ascii="宋体" w:hAnsi="宋体" w:eastAsia="宋体" w:cs="宋体"/>
          <w:b/>
          <w:bCs/>
          <w:sz w:val="32"/>
          <w:szCs w:val="32"/>
        </w:rPr>
        <w:t>副组长:</w:t>
      </w:r>
      <w:r>
        <w:rPr>
          <w:rFonts w:hint="eastAsia" w:ascii="宋体" w:hAnsi="宋体" w:cs="宋体"/>
          <w:b w:val="0"/>
          <w:bCs w:val="0"/>
          <w:sz w:val="32"/>
          <w:szCs w:val="32"/>
          <w:highlight w:val="none"/>
          <w:lang w:val="en-US" w:eastAsia="zh-CN"/>
        </w:rPr>
        <w:t>卢勇</w:t>
      </w:r>
    </w:p>
    <w:p>
      <w:pPr>
        <w:keepNext w:val="0"/>
        <w:keepLines w:val="0"/>
        <w:pageBreakBefore w:val="0"/>
        <w:widowControl/>
        <w:kinsoku/>
        <w:wordWrap/>
        <w:topLinePunct w:val="0"/>
        <w:autoSpaceDE/>
        <w:autoSpaceDN/>
        <w:bidi w:val="0"/>
        <w:rPr>
          <w:rFonts w:hint="default" w:ascii="宋体" w:hAnsi="宋体" w:eastAsia="宋体" w:cs="宋体"/>
          <w:b w:val="0"/>
          <w:bCs w:val="0"/>
          <w:sz w:val="32"/>
          <w:szCs w:val="32"/>
          <w:highlight w:val="none"/>
          <w:lang w:val="en-US" w:eastAsia="zh-CN"/>
        </w:rPr>
      </w:pPr>
      <w:r>
        <w:rPr>
          <w:rFonts w:hint="eastAsia" w:ascii="宋体" w:hAnsi="宋体" w:eastAsia="宋体" w:cs="宋体"/>
          <w:b/>
          <w:bCs/>
          <w:sz w:val="32"/>
          <w:szCs w:val="32"/>
          <w:highlight w:val="none"/>
        </w:rPr>
        <w:t>成</w:t>
      </w:r>
      <w:r>
        <w:rPr>
          <w:rFonts w:hint="eastAsia" w:ascii="宋体" w:hAnsi="宋体" w:eastAsia="宋体" w:cs="宋体"/>
          <w:b/>
          <w:bCs/>
          <w:sz w:val="32"/>
          <w:szCs w:val="32"/>
          <w:highlight w:val="none"/>
          <w:lang w:val="en-US" w:eastAsia="zh-CN"/>
        </w:rPr>
        <w:t xml:space="preserve">  </w:t>
      </w:r>
      <w:r>
        <w:rPr>
          <w:rFonts w:hint="eastAsia" w:ascii="宋体" w:hAnsi="宋体" w:eastAsia="宋体" w:cs="宋体"/>
          <w:b/>
          <w:bCs/>
          <w:sz w:val="32"/>
          <w:szCs w:val="32"/>
          <w:highlight w:val="none"/>
        </w:rPr>
        <w:t>员:</w:t>
      </w:r>
      <w:r>
        <w:rPr>
          <w:rFonts w:hint="eastAsia" w:ascii="宋体" w:hAnsi="宋体" w:cs="宋体"/>
          <w:b w:val="0"/>
          <w:bCs w:val="0"/>
          <w:sz w:val="32"/>
          <w:szCs w:val="32"/>
          <w:highlight w:val="none"/>
          <w:lang w:val="en-US" w:eastAsia="zh-CN"/>
        </w:rPr>
        <w:t>鲁云云、张艺、汪林成</w:t>
      </w:r>
    </w:p>
    <w:p>
      <w:pPr>
        <w:rPr>
          <w:rFonts w:hint="default" w:ascii="Times New Roman" w:hAnsi="Times New Roman" w:eastAsia="宋体" w:cs="Times New Roman"/>
          <w:sz w:val="32"/>
          <w:szCs w:val="32"/>
          <w:lang w:eastAsia="zh-CN"/>
        </w:rPr>
      </w:pPr>
    </w:p>
    <w:p>
      <w:pPr>
        <w:widowControl/>
        <w:jc w:val="center"/>
        <w:rPr>
          <w:rFonts w:hint="eastAsia" w:asciiTheme="minorEastAsia" w:hAnsiTheme="minorEastAsia" w:eastAsiaTheme="minorEastAsia" w:cstheme="minorEastAsia"/>
          <w:color w:val="000000"/>
          <w:kern w:val="0"/>
          <w:sz w:val="32"/>
          <w:szCs w:val="32"/>
          <w:highlight w:val="none"/>
        </w:rPr>
      </w:pPr>
    </w:p>
    <w:p>
      <w:pPr>
        <w:widowControl/>
        <w:jc w:val="center"/>
        <w:rPr>
          <w:rFonts w:hint="eastAsia" w:asciiTheme="minorEastAsia" w:hAnsiTheme="minorEastAsia" w:eastAsiaTheme="minorEastAsia" w:cstheme="minorEastAsia"/>
          <w:color w:val="000000"/>
          <w:kern w:val="0"/>
          <w:sz w:val="32"/>
          <w:szCs w:val="32"/>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start="1"/>
          <w:cols w:space="425" w:num="1"/>
          <w:docGrid w:type="lines" w:linePitch="312" w:charSpace="0"/>
        </w:sectPr>
      </w:pPr>
    </w:p>
    <w:p>
      <w:pPr>
        <w:pStyle w:val="4"/>
        <w:bidi w:val="0"/>
        <w:ind w:left="0" w:leftChars="0" w:firstLine="0" w:firstLineChars="0"/>
        <w:rPr>
          <w:rFonts w:hint="eastAsia" w:asciiTheme="minorEastAsia" w:hAnsiTheme="minorEastAsia" w:eastAsiaTheme="minorEastAsia" w:cstheme="minorEastAsia"/>
          <w:sz w:val="32"/>
          <w:szCs w:val="32"/>
        </w:rPr>
      </w:pPr>
    </w:p>
    <w:sdt>
      <w:sdtPr>
        <w:rPr>
          <w:rFonts w:hint="eastAsia" w:asciiTheme="minorEastAsia" w:hAnsiTheme="minorEastAsia" w:eastAsiaTheme="minorEastAsia" w:cstheme="minorEastAsia"/>
          <w:kern w:val="2"/>
          <w:sz w:val="52"/>
          <w:szCs w:val="52"/>
          <w:lang w:val="en-US" w:eastAsia="zh-CN" w:bidi="ar-SA"/>
        </w:rPr>
        <w:id w:val="147456802"/>
        <w15:color w:val="DBDBDB"/>
        <w:docPartObj>
          <w:docPartGallery w:val="Table of Contents"/>
          <w:docPartUnique/>
        </w:docPartObj>
      </w:sdtPr>
      <w:sdtEndPr>
        <w:rPr>
          <w:rFonts w:hint="eastAsia" w:asciiTheme="minorEastAsia" w:hAnsiTheme="minorEastAsia" w:eastAsiaTheme="minorEastAsia" w:cstheme="minorEastAsia"/>
          <w:b/>
          <w:kern w:val="2"/>
          <w:sz w:val="52"/>
          <w:szCs w:val="52"/>
          <w:lang w:val="en-US" w:eastAsia="zh-CN" w:bidi="ar-SA"/>
        </w:rPr>
      </w:sdtEndPr>
      <w:sdtContent>
        <w:p>
          <w:pPr>
            <w:spacing w:before="0" w:beforeLines="0" w:after="0" w:afterLines="0" w:line="240" w:lineRule="auto"/>
            <w:ind w:left="0" w:leftChars="0" w:right="0" w:rightChars="0" w:firstLine="0" w:firstLineChars="0"/>
            <w:jc w:val="center"/>
            <w:rPr>
              <w:rFonts w:hint="eastAsia" w:asciiTheme="minorEastAsia" w:hAnsiTheme="minorEastAsia" w:eastAsiaTheme="minorEastAsia" w:cstheme="minorEastAsia"/>
              <w:sz w:val="52"/>
              <w:szCs w:val="52"/>
            </w:rPr>
          </w:pPr>
          <w:r>
            <w:rPr>
              <w:rFonts w:hint="eastAsia" w:asciiTheme="minorEastAsia" w:hAnsiTheme="minorEastAsia" w:eastAsiaTheme="minorEastAsia" w:cstheme="minorEastAsia"/>
              <w:sz w:val="52"/>
              <w:szCs w:val="52"/>
            </w:rPr>
            <w:t>目录</w:t>
          </w:r>
        </w:p>
        <w:p>
          <w:pPr>
            <w:pStyle w:val="17"/>
            <w:tabs>
              <w:tab w:val="right" w:leader="dot" w:pos="8306"/>
            </w:tabs>
            <w:rPr>
              <w:rFonts w:hint="eastAsia" w:asciiTheme="minorEastAsia" w:hAnsiTheme="minorEastAsia" w:eastAsiaTheme="minorEastAsia" w:cstheme="minorEastAsia"/>
              <w:b w:val="0"/>
              <w:bCs/>
              <w:sz w:val="32"/>
              <w:szCs w:val="32"/>
            </w:rPr>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TOC \o "1-2" \h \u </w:instrText>
          </w:r>
          <w:r>
            <w:rPr>
              <w:rFonts w:hint="eastAsia" w:asciiTheme="minorEastAsia" w:hAnsiTheme="minorEastAsia" w:eastAsiaTheme="minorEastAsia" w:cstheme="minorEastAsia"/>
              <w:sz w:val="32"/>
              <w:szCs w:val="32"/>
            </w:rPr>
            <w:fldChar w:fldCharType="separate"/>
          </w: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HYPERLINK \l _Toc22013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1、引言</w:t>
          </w:r>
          <w:r>
            <w:rPr>
              <w:rFonts w:hint="eastAsia" w:asciiTheme="minorEastAsia" w:hAnsiTheme="minorEastAsia" w:eastAsiaTheme="minorEastAsia" w:cstheme="minorEastAsia"/>
              <w:b w:val="0"/>
              <w:bCs/>
              <w:sz w:val="32"/>
              <w:szCs w:val="32"/>
            </w:rPr>
            <w:tab/>
          </w: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PAGEREF _Toc22013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2</w:t>
          </w:r>
          <w:r>
            <w:rPr>
              <w:rFonts w:hint="eastAsia" w:asciiTheme="minorEastAsia" w:hAnsiTheme="minorEastAsia" w:eastAsiaTheme="minorEastAsia" w:cstheme="minorEastAsia"/>
              <w:b w:val="0"/>
              <w:bCs/>
              <w:sz w:val="32"/>
              <w:szCs w:val="32"/>
            </w:rPr>
            <w:fldChar w:fldCharType="end"/>
          </w:r>
          <w:r>
            <w:rPr>
              <w:rFonts w:hint="eastAsia" w:asciiTheme="minorEastAsia" w:hAnsiTheme="minorEastAsia" w:eastAsiaTheme="minorEastAsia" w:cstheme="minorEastAsia"/>
              <w:b w:val="0"/>
              <w:bCs/>
              <w:sz w:val="32"/>
              <w:szCs w:val="32"/>
            </w:rPr>
            <w:fldChar w:fldCharType="end"/>
          </w:r>
        </w:p>
        <w:p>
          <w:pPr>
            <w:pStyle w:val="18"/>
            <w:tabs>
              <w:tab w:val="right" w:leader="dot" w:pos="8306"/>
            </w:tabs>
            <w:rPr>
              <w:rFonts w:hint="eastAsia" w:asciiTheme="minorEastAsia" w:hAnsiTheme="minorEastAsia" w:eastAsiaTheme="minorEastAsia" w:cstheme="minorEastAsia"/>
              <w:b w:val="0"/>
              <w:bCs/>
              <w:sz w:val="32"/>
              <w:szCs w:val="32"/>
            </w:rPr>
          </w:pP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HYPERLINK \l _Toc1891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lang w:val="en-US" w:eastAsia="zh-CN"/>
            </w:rPr>
            <w:t>1.1、</w:t>
          </w:r>
          <w:r>
            <w:rPr>
              <w:rFonts w:hint="eastAsia" w:asciiTheme="minorEastAsia" w:hAnsiTheme="minorEastAsia" w:eastAsiaTheme="minorEastAsia" w:cstheme="minorEastAsia"/>
              <w:b w:val="0"/>
              <w:bCs/>
              <w:sz w:val="32"/>
              <w:szCs w:val="32"/>
            </w:rPr>
            <w:t>部门职责概述</w:t>
          </w:r>
          <w:r>
            <w:rPr>
              <w:rFonts w:hint="eastAsia" w:asciiTheme="minorEastAsia" w:hAnsiTheme="minorEastAsia" w:eastAsiaTheme="minorEastAsia" w:cstheme="minorEastAsia"/>
              <w:b w:val="0"/>
              <w:bCs/>
              <w:sz w:val="32"/>
              <w:szCs w:val="32"/>
            </w:rPr>
            <w:tab/>
          </w: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PAGEREF _Toc1891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2</w:t>
          </w:r>
          <w:r>
            <w:rPr>
              <w:rFonts w:hint="eastAsia" w:asciiTheme="minorEastAsia" w:hAnsiTheme="minorEastAsia" w:eastAsiaTheme="minorEastAsia" w:cstheme="minorEastAsia"/>
              <w:b w:val="0"/>
              <w:bCs/>
              <w:sz w:val="32"/>
              <w:szCs w:val="32"/>
            </w:rPr>
            <w:fldChar w:fldCharType="end"/>
          </w:r>
          <w:r>
            <w:rPr>
              <w:rFonts w:hint="eastAsia" w:asciiTheme="minorEastAsia" w:hAnsiTheme="minorEastAsia" w:eastAsiaTheme="minorEastAsia" w:cstheme="minorEastAsia"/>
              <w:b w:val="0"/>
              <w:bCs/>
              <w:sz w:val="32"/>
              <w:szCs w:val="32"/>
            </w:rPr>
            <w:fldChar w:fldCharType="end"/>
          </w:r>
        </w:p>
        <w:p>
          <w:pPr>
            <w:pStyle w:val="18"/>
            <w:tabs>
              <w:tab w:val="right" w:leader="dot" w:pos="8306"/>
            </w:tabs>
            <w:rPr>
              <w:rFonts w:hint="eastAsia" w:asciiTheme="minorEastAsia" w:hAnsiTheme="minorEastAsia" w:eastAsiaTheme="minorEastAsia" w:cstheme="minorEastAsia"/>
              <w:b w:val="0"/>
              <w:bCs/>
              <w:sz w:val="32"/>
              <w:szCs w:val="32"/>
            </w:rPr>
          </w:pP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HYPERLINK \l _Toc27648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lang w:val="en-US" w:eastAsia="zh-CN"/>
            </w:rPr>
            <w:t>1.2、</w:t>
          </w:r>
          <w:r>
            <w:rPr>
              <w:rFonts w:hint="eastAsia" w:asciiTheme="minorEastAsia" w:hAnsiTheme="minorEastAsia" w:eastAsiaTheme="minorEastAsia" w:cstheme="minorEastAsia"/>
              <w:b w:val="0"/>
              <w:bCs/>
              <w:sz w:val="32"/>
              <w:szCs w:val="32"/>
            </w:rPr>
            <w:t>部门收支描述</w:t>
          </w:r>
          <w:r>
            <w:rPr>
              <w:rFonts w:hint="eastAsia" w:asciiTheme="minorEastAsia" w:hAnsiTheme="minorEastAsia" w:eastAsiaTheme="minorEastAsia" w:cstheme="minorEastAsia"/>
              <w:b w:val="0"/>
              <w:bCs/>
              <w:sz w:val="32"/>
              <w:szCs w:val="32"/>
            </w:rPr>
            <w:tab/>
          </w: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PAGEREF _Toc27648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3</w:t>
          </w:r>
          <w:r>
            <w:rPr>
              <w:rFonts w:hint="eastAsia" w:asciiTheme="minorEastAsia" w:hAnsiTheme="minorEastAsia" w:eastAsiaTheme="minorEastAsia" w:cstheme="minorEastAsia"/>
              <w:b w:val="0"/>
              <w:bCs/>
              <w:sz w:val="32"/>
              <w:szCs w:val="32"/>
            </w:rPr>
            <w:fldChar w:fldCharType="end"/>
          </w:r>
          <w:r>
            <w:rPr>
              <w:rFonts w:hint="eastAsia" w:asciiTheme="minorEastAsia" w:hAnsiTheme="minorEastAsia" w:eastAsiaTheme="minorEastAsia" w:cstheme="minorEastAsia"/>
              <w:b w:val="0"/>
              <w:bCs/>
              <w:sz w:val="32"/>
              <w:szCs w:val="32"/>
            </w:rPr>
            <w:fldChar w:fldCharType="end"/>
          </w:r>
        </w:p>
        <w:p>
          <w:pPr>
            <w:pStyle w:val="18"/>
            <w:tabs>
              <w:tab w:val="right" w:leader="dot" w:pos="8306"/>
            </w:tabs>
            <w:rPr>
              <w:rFonts w:hint="eastAsia" w:asciiTheme="minorEastAsia" w:hAnsiTheme="minorEastAsia" w:eastAsiaTheme="minorEastAsia" w:cstheme="minorEastAsia"/>
              <w:b w:val="0"/>
              <w:bCs/>
              <w:sz w:val="32"/>
              <w:szCs w:val="32"/>
            </w:rPr>
          </w:pP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HYPERLINK \l _Toc307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lang w:val="en-US" w:eastAsia="zh-CN"/>
            </w:rPr>
            <w:t>1.3、</w:t>
          </w:r>
          <w:r>
            <w:rPr>
              <w:rFonts w:hint="eastAsia" w:asciiTheme="minorEastAsia" w:hAnsiTheme="minorEastAsia" w:eastAsiaTheme="minorEastAsia" w:cstheme="minorEastAsia"/>
              <w:b w:val="0"/>
              <w:bCs/>
              <w:sz w:val="32"/>
              <w:szCs w:val="32"/>
            </w:rPr>
            <w:t>部门项目实施情况</w:t>
          </w:r>
          <w:r>
            <w:rPr>
              <w:rFonts w:hint="eastAsia" w:asciiTheme="minorEastAsia" w:hAnsiTheme="minorEastAsia" w:eastAsiaTheme="minorEastAsia" w:cstheme="minorEastAsia"/>
              <w:b w:val="0"/>
              <w:bCs/>
              <w:sz w:val="32"/>
              <w:szCs w:val="32"/>
            </w:rPr>
            <w:tab/>
          </w: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PAGEREF _Toc307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5</w:t>
          </w:r>
          <w:r>
            <w:rPr>
              <w:rFonts w:hint="eastAsia" w:asciiTheme="minorEastAsia" w:hAnsiTheme="minorEastAsia" w:eastAsiaTheme="minorEastAsia" w:cstheme="minorEastAsia"/>
              <w:b w:val="0"/>
              <w:bCs/>
              <w:sz w:val="32"/>
              <w:szCs w:val="32"/>
            </w:rPr>
            <w:fldChar w:fldCharType="end"/>
          </w:r>
          <w:r>
            <w:rPr>
              <w:rFonts w:hint="eastAsia" w:asciiTheme="minorEastAsia" w:hAnsiTheme="minorEastAsia" w:eastAsiaTheme="minorEastAsia" w:cstheme="minorEastAsia"/>
              <w:b w:val="0"/>
              <w:bCs/>
              <w:sz w:val="32"/>
              <w:szCs w:val="32"/>
            </w:rPr>
            <w:fldChar w:fldCharType="end"/>
          </w:r>
        </w:p>
        <w:p>
          <w:pPr>
            <w:pStyle w:val="17"/>
            <w:tabs>
              <w:tab w:val="right" w:leader="dot" w:pos="8306"/>
            </w:tabs>
            <w:rPr>
              <w:rFonts w:hint="eastAsia" w:asciiTheme="minorEastAsia" w:hAnsiTheme="minorEastAsia" w:eastAsiaTheme="minorEastAsia" w:cstheme="minorEastAsia"/>
              <w:b w:val="0"/>
              <w:bCs/>
              <w:sz w:val="32"/>
              <w:szCs w:val="32"/>
            </w:rPr>
          </w:pP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HYPERLINK \l _Toc12331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2、绩效评价概述</w:t>
          </w:r>
          <w:r>
            <w:rPr>
              <w:rFonts w:hint="eastAsia" w:asciiTheme="minorEastAsia" w:hAnsiTheme="minorEastAsia" w:eastAsiaTheme="minorEastAsia" w:cstheme="minorEastAsia"/>
              <w:b w:val="0"/>
              <w:bCs/>
              <w:sz w:val="32"/>
              <w:szCs w:val="32"/>
            </w:rPr>
            <w:tab/>
          </w: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PAGEREF _Toc12331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7</w:t>
          </w:r>
          <w:r>
            <w:rPr>
              <w:rFonts w:hint="eastAsia" w:asciiTheme="minorEastAsia" w:hAnsiTheme="minorEastAsia" w:eastAsiaTheme="minorEastAsia" w:cstheme="minorEastAsia"/>
              <w:b w:val="0"/>
              <w:bCs/>
              <w:sz w:val="32"/>
              <w:szCs w:val="32"/>
            </w:rPr>
            <w:fldChar w:fldCharType="end"/>
          </w:r>
          <w:r>
            <w:rPr>
              <w:rFonts w:hint="eastAsia" w:asciiTheme="minorEastAsia" w:hAnsiTheme="minorEastAsia" w:eastAsiaTheme="minorEastAsia" w:cstheme="minorEastAsia"/>
              <w:b w:val="0"/>
              <w:bCs/>
              <w:sz w:val="32"/>
              <w:szCs w:val="32"/>
            </w:rPr>
            <w:fldChar w:fldCharType="end"/>
          </w:r>
        </w:p>
        <w:p>
          <w:pPr>
            <w:pStyle w:val="18"/>
            <w:tabs>
              <w:tab w:val="right" w:leader="dot" w:pos="8306"/>
            </w:tabs>
            <w:rPr>
              <w:rFonts w:hint="eastAsia" w:asciiTheme="minorEastAsia" w:hAnsiTheme="minorEastAsia" w:eastAsiaTheme="minorEastAsia" w:cstheme="minorEastAsia"/>
              <w:b w:val="0"/>
              <w:bCs/>
              <w:sz w:val="32"/>
              <w:szCs w:val="32"/>
            </w:rPr>
          </w:pP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HYPERLINK \l _Toc28798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2.1、绩效评价目的</w:t>
          </w:r>
          <w:r>
            <w:rPr>
              <w:rFonts w:hint="eastAsia" w:asciiTheme="minorEastAsia" w:hAnsiTheme="minorEastAsia" w:eastAsiaTheme="minorEastAsia" w:cstheme="minorEastAsia"/>
              <w:b w:val="0"/>
              <w:bCs/>
              <w:sz w:val="32"/>
              <w:szCs w:val="32"/>
            </w:rPr>
            <w:tab/>
          </w: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PAGEREF _Toc28798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7</w:t>
          </w:r>
          <w:r>
            <w:rPr>
              <w:rFonts w:hint="eastAsia" w:asciiTheme="minorEastAsia" w:hAnsiTheme="minorEastAsia" w:eastAsiaTheme="minorEastAsia" w:cstheme="minorEastAsia"/>
              <w:b w:val="0"/>
              <w:bCs/>
              <w:sz w:val="32"/>
              <w:szCs w:val="32"/>
            </w:rPr>
            <w:fldChar w:fldCharType="end"/>
          </w:r>
          <w:r>
            <w:rPr>
              <w:rFonts w:hint="eastAsia" w:asciiTheme="minorEastAsia" w:hAnsiTheme="minorEastAsia" w:eastAsiaTheme="minorEastAsia" w:cstheme="minorEastAsia"/>
              <w:b w:val="0"/>
              <w:bCs/>
              <w:sz w:val="32"/>
              <w:szCs w:val="32"/>
            </w:rPr>
            <w:fldChar w:fldCharType="end"/>
          </w:r>
        </w:p>
        <w:p>
          <w:pPr>
            <w:pStyle w:val="18"/>
            <w:tabs>
              <w:tab w:val="right" w:leader="dot" w:pos="8306"/>
            </w:tabs>
            <w:rPr>
              <w:rFonts w:hint="eastAsia" w:asciiTheme="minorEastAsia" w:hAnsiTheme="minorEastAsia" w:eastAsiaTheme="minorEastAsia" w:cstheme="minorEastAsia"/>
              <w:b w:val="0"/>
              <w:bCs/>
              <w:sz w:val="32"/>
              <w:szCs w:val="32"/>
            </w:rPr>
          </w:pP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HYPERLINK \l _Toc15618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2.2、绩效评价实施过程</w:t>
          </w:r>
          <w:r>
            <w:rPr>
              <w:rFonts w:hint="eastAsia" w:asciiTheme="minorEastAsia" w:hAnsiTheme="minorEastAsia" w:eastAsiaTheme="minorEastAsia" w:cstheme="minorEastAsia"/>
              <w:b w:val="0"/>
              <w:bCs/>
              <w:sz w:val="32"/>
              <w:szCs w:val="32"/>
            </w:rPr>
            <w:tab/>
          </w: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PAGEREF _Toc15618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7</w:t>
          </w:r>
          <w:r>
            <w:rPr>
              <w:rFonts w:hint="eastAsia" w:asciiTheme="minorEastAsia" w:hAnsiTheme="minorEastAsia" w:eastAsiaTheme="minorEastAsia" w:cstheme="minorEastAsia"/>
              <w:b w:val="0"/>
              <w:bCs/>
              <w:sz w:val="32"/>
              <w:szCs w:val="32"/>
            </w:rPr>
            <w:fldChar w:fldCharType="end"/>
          </w:r>
          <w:r>
            <w:rPr>
              <w:rFonts w:hint="eastAsia" w:asciiTheme="minorEastAsia" w:hAnsiTheme="minorEastAsia" w:eastAsiaTheme="minorEastAsia" w:cstheme="minorEastAsia"/>
              <w:b w:val="0"/>
              <w:bCs/>
              <w:sz w:val="32"/>
              <w:szCs w:val="32"/>
            </w:rPr>
            <w:fldChar w:fldCharType="end"/>
          </w:r>
        </w:p>
        <w:p>
          <w:pPr>
            <w:pStyle w:val="18"/>
            <w:tabs>
              <w:tab w:val="right" w:leader="dot" w:pos="8306"/>
            </w:tabs>
            <w:rPr>
              <w:rFonts w:hint="eastAsia" w:asciiTheme="minorEastAsia" w:hAnsiTheme="minorEastAsia" w:eastAsiaTheme="minorEastAsia" w:cstheme="minorEastAsia"/>
              <w:b w:val="0"/>
              <w:bCs/>
              <w:sz w:val="32"/>
              <w:szCs w:val="32"/>
            </w:rPr>
          </w:pP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HYPERLINK \l _Toc3950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2.3、绩效评价的局限性</w:t>
          </w:r>
          <w:r>
            <w:rPr>
              <w:rFonts w:hint="eastAsia" w:asciiTheme="minorEastAsia" w:hAnsiTheme="minorEastAsia" w:eastAsiaTheme="minorEastAsia" w:cstheme="minorEastAsia"/>
              <w:b w:val="0"/>
              <w:bCs/>
              <w:sz w:val="32"/>
              <w:szCs w:val="32"/>
            </w:rPr>
            <w:tab/>
          </w: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PAGEREF _Toc3950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9</w:t>
          </w:r>
          <w:r>
            <w:rPr>
              <w:rFonts w:hint="eastAsia" w:asciiTheme="minorEastAsia" w:hAnsiTheme="minorEastAsia" w:eastAsiaTheme="minorEastAsia" w:cstheme="minorEastAsia"/>
              <w:b w:val="0"/>
              <w:bCs/>
              <w:sz w:val="32"/>
              <w:szCs w:val="32"/>
            </w:rPr>
            <w:fldChar w:fldCharType="end"/>
          </w:r>
          <w:r>
            <w:rPr>
              <w:rFonts w:hint="eastAsia" w:asciiTheme="minorEastAsia" w:hAnsiTheme="minorEastAsia" w:eastAsiaTheme="minorEastAsia" w:cstheme="minorEastAsia"/>
              <w:b w:val="0"/>
              <w:bCs/>
              <w:sz w:val="32"/>
              <w:szCs w:val="32"/>
            </w:rPr>
            <w:fldChar w:fldCharType="end"/>
          </w:r>
        </w:p>
        <w:p>
          <w:pPr>
            <w:pStyle w:val="17"/>
            <w:tabs>
              <w:tab w:val="right" w:leader="dot" w:pos="8306"/>
            </w:tabs>
            <w:rPr>
              <w:rFonts w:hint="eastAsia" w:asciiTheme="minorEastAsia" w:hAnsiTheme="minorEastAsia" w:eastAsiaTheme="minorEastAsia" w:cstheme="minorEastAsia"/>
              <w:b w:val="0"/>
              <w:bCs/>
              <w:sz w:val="32"/>
              <w:szCs w:val="32"/>
            </w:rPr>
          </w:pP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HYPERLINK \l _Toc3826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3、部门整体绩效评价分析</w:t>
          </w:r>
          <w:r>
            <w:rPr>
              <w:rFonts w:hint="eastAsia" w:asciiTheme="minorEastAsia" w:hAnsiTheme="minorEastAsia" w:eastAsiaTheme="minorEastAsia" w:cstheme="minorEastAsia"/>
              <w:b w:val="0"/>
              <w:bCs/>
              <w:sz w:val="32"/>
              <w:szCs w:val="32"/>
            </w:rPr>
            <w:tab/>
          </w: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PAGEREF _Toc3826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9</w:t>
          </w:r>
          <w:r>
            <w:rPr>
              <w:rFonts w:hint="eastAsia" w:asciiTheme="minorEastAsia" w:hAnsiTheme="minorEastAsia" w:eastAsiaTheme="minorEastAsia" w:cstheme="minorEastAsia"/>
              <w:b w:val="0"/>
              <w:bCs/>
              <w:sz w:val="32"/>
              <w:szCs w:val="32"/>
            </w:rPr>
            <w:fldChar w:fldCharType="end"/>
          </w:r>
          <w:r>
            <w:rPr>
              <w:rFonts w:hint="eastAsia" w:asciiTheme="minorEastAsia" w:hAnsiTheme="minorEastAsia" w:eastAsiaTheme="minorEastAsia" w:cstheme="minorEastAsia"/>
              <w:b w:val="0"/>
              <w:bCs/>
              <w:sz w:val="32"/>
              <w:szCs w:val="32"/>
            </w:rPr>
            <w:fldChar w:fldCharType="end"/>
          </w:r>
        </w:p>
        <w:p>
          <w:pPr>
            <w:pStyle w:val="18"/>
            <w:tabs>
              <w:tab w:val="right" w:leader="dot" w:pos="8306"/>
            </w:tabs>
            <w:rPr>
              <w:rFonts w:hint="eastAsia" w:asciiTheme="minorEastAsia" w:hAnsiTheme="minorEastAsia" w:eastAsiaTheme="minorEastAsia" w:cstheme="minorEastAsia"/>
              <w:b w:val="0"/>
              <w:bCs/>
              <w:sz w:val="32"/>
              <w:szCs w:val="32"/>
            </w:rPr>
          </w:pP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HYPERLINK \l _Toc4094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3.1、内部管理</w:t>
          </w:r>
          <w:r>
            <w:rPr>
              <w:rFonts w:hint="eastAsia" w:asciiTheme="minorEastAsia" w:hAnsiTheme="minorEastAsia" w:eastAsiaTheme="minorEastAsia" w:cstheme="minorEastAsia"/>
              <w:b w:val="0"/>
              <w:bCs/>
              <w:sz w:val="32"/>
              <w:szCs w:val="32"/>
            </w:rPr>
            <w:tab/>
          </w: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PAGEREF _Toc4094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9</w:t>
          </w:r>
          <w:r>
            <w:rPr>
              <w:rFonts w:hint="eastAsia" w:asciiTheme="minorEastAsia" w:hAnsiTheme="minorEastAsia" w:eastAsiaTheme="minorEastAsia" w:cstheme="minorEastAsia"/>
              <w:b w:val="0"/>
              <w:bCs/>
              <w:sz w:val="32"/>
              <w:szCs w:val="32"/>
            </w:rPr>
            <w:fldChar w:fldCharType="end"/>
          </w:r>
          <w:r>
            <w:rPr>
              <w:rFonts w:hint="eastAsia" w:asciiTheme="minorEastAsia" w:hAnsiTheme="minorEastAsia" w:eastAsiaTheme="minorEastAsia" w:cstheme="minorEastAsia"/>
              <w:b w:val="0"/>
              <w:bCs/>
              <w:sz w:val="32"/>
              <w:szCs w:val="32"/>
            </w:rPr>
            <w:fldChar w:fldCharType="end"/>
          </w:r>
        </w:p>
        <w:p>
          <w:pPr>
            <w:pStyle w:val="18"/>
            <w:tabs>
              <w:tab w:val="right" w:leader="dot" w:pos="8306"/>
            </w:tabs>
            <w:rPr>
              <w:rFonts w:hint="eastAsia" w:asciiTheme="minorEastAsia" w:hAnsiTheme="minorEastAsia" w:eastAsiaTheme="minorEastAsia" w:cstheme="minorEastAsia"/>
              <w:b w:val="0"/>
              <w:bCs/>
              <w:sz w:val="32"/>
              <w:szCs w:val="32"/>
            </w:rPr>
          </w:pP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HYPERLINK \l _Toc8770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3.2、部门履职</w:t>
          </w:r>
          <w:r>
            <w:rPr>
              <w:rFonts w:hint="eastAsia" w:asciiTheme="minorEastAsia" w:hAnsiTheme="minorEastAsia" w:eastAsiaTheme="minorEastAsia" w:cstheme="minorEastAsia"/>
              <w:b w:val="0"/>
              <w:bCs/>
              <w:sz w:val="32"/>
              <w:szCs w:val="32"/>
            </w:rPr>
            <w:tab/>
          </w: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PAGEREF _Toc8770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11</w:t>
          </w:r>
          <w:r>
            <w:rPr>
              <w:rFonts w:hint="eastAsia" w:asciiTheme="minorEastAsia" w:hAnsiTheme="minorEastAsia" w:eastAsiaTheme="minorEastAsia" w:cstheme="minorEastAsia"/>
              <w:b w:val="0"/>
              <w:bCs/>
              <w:sz w:val="32"/>
              <w:szCs w:val="32"/>
            </w:rPr>
            <w:fldChar w:fldCharType="end"/>
          </w:r>
          <w:r>
            <w:rPr>
              <w:rFonts w:hint="eastAsia" w:asciiTheme="minorEastAsia" w:hAnsiTheme="minorEastAsia" w:eastAsiaTheme="minorEastAsia" w:cstheme="minorEastAsia"/>
              <w:b w:val="0"/>
              <w:bCs/>
              <w:sz w:val="32"/>
              <w:szCs w:val="32"/>
            </w:rPr>
            <w:fldChar w:fldCharType="end"/>
          </w:r>
        </w:p>
        <w:p>
          <w:pPr>
            <w:pStyle w:val="17"/>
            <w:tabs>
              <w:tab w:val="right" w:leader="dot" w:pos="8306"/>
            </w:tabs>
            <w:rPr>
              <w:rFonts w:hint="eastAsia" w:asciiTheme="minorEastAsia" w:hAnsiTheme="minorEastAsia" w:eastAsiaTheme="minorEastAsia" w:cstheme="minorEastAsia"/>
              <w:b w:val="0"/>
              <w:bCs/>
              <w:sz w:val="32"/>
              <w:szCs w:val="32"/>
            </w:rPr>
          </w:pP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HYPERLINK \l _Toc11944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4、需要说明事项</w:t>
          </w:r>
          <w:r>
            <w:rPr>
              <w:rFonts w:hint="eastAsia" w:asciiTheme="minorEastAsia" w:hAnsiTheme="minorEastAsia" w:eastAsiaTheme="minorEastAsia" w:cstheme="minorEastAsia"/>
              <w:b w:val="0"/>
              <w:bCs/>
              <w:sz w:val="32"/>
              <w:szCs w:val="32"/>
            </w:rPr>
            <w:tab/>
          </w: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PAGEREF _Toc11944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12</w:t>
          </w:r>
          <w:r>
            <w:rPr>
              <w:rFonts w:hint="eastAsia" w:asciiTheme="minorEastAsia" w:hAnsiTheme="minorEastAsia" w:eastAsiaTheme="minorEastAsia" w:cstheme="minorEastAsia"/>
              <w:b w:val="0"/>
              <w:bCs/>
              <w:sz w:val="32"/>
              <w:szCs w:val="32"/>
            </w:rPr>
            <w:fldChar w:fldCharType="end"/>
          </w:r>
          <w:r>
            <w:rPr>
              <w:rFonts w:hint="eastAsia" w:asciiTheme="minorEastAsia" w:hAnsiTheme="minorEastAsia" w:eastAsiaTheme="minorEastAsia" w:cstheme="minorEastAsia"/>
              <w:b w:val="0"/>
              <w:bCs/>
              <w:sz w:val="32"/>
              <w:szCs w:val="32"/>
            </w:rPr>
            <w:fldChar w:fldCharType="end"/>
          </w:r>
        </w:p>
        <w:p>
          <w:pPr>
            <w:pStyle w:val="17"/>
            <w:tabs>
              <w:tab w:val="right" w:leader="dot" w:pos="8306"/>
            </w:tabs>
            <w:rPr>
              <w:rFonts w:hint="eastAsia" w:asciiTheme="minorEastAsia" w:hAnsiTheme="minorEastAsia" w:eastAsiaTheme="minorEastAsia" w:cstheme="minorEastAsia"/>
              <w:b w:val="0"/>
              <w:bCs/>
              <w:sz w:val="32"/>
              <w:szCs w:val="32"/>
            </w:rPr>
          </w:pP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HYPERLINK \l _Toc30097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5、绩效评价结论</w:t>
          </w:r>
          <w:r>
            <w:rPr>
              <w:rFonts w:hint="eastAsia" w:asciiTheme="minorEastAsia" w:hAnsiTheme="minorEastAsia" w:eastAsiaTheme="minorEastAsia" w:cstheme="minorEastAsia"/>
              <w:b w:val="0"/>
              <w:bCs/>
              <w:sz w:val="32"/>
              <w:szCs w:val="32"/>
            </w:rPr>
            <w:tab/>
          </w: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PAGEREF _Toc30097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12</w:t>
          </w:r>
          <w:r>
            <w:rPr>
              <w:rFonts w:hint="eastAsia" w:asciiTheme="minorEastAsia" w:hAnsiTheme="minorEastAsia" w:eastAsiaTheme="minorEastAsia" w:cstheme="minorEastAsia"/>
              <w:b w:val="0"/>
              <w:bCs/>
              <w:sz w:val="32"/>
              <w:szCs w:val="32"/>
            </w:rPr>
            <w:fldChar w:fldCharType="end"/>
          </w:r>
          <w:r>
            <w:rPr>
              <w:rFonts w:hint="eastAsia" w:asciiTheme="minorEastAsia" w:hAnsiTheme="minorEastAsia" w:eastAsiaTheme="minorEastAsia" w:cstheme="minorEastAsia"/>
              <w:b w:val="0"/>
              <w:bCs/>
              <w:sz w:val="32"/>
              <w:szCs w:val="32"/>
            </w:rPr>
            <w:fldChar w:fldCharType="end"/>
          </w:r>
        </w:p>
        <w:p>
          <w:pPr>
            <w:pStyle w:val="18"/>
            <w:tabs>
              <w:tab w:val="right" w:leader="dot" w:pos="8306"/>
            </w:tabs>
            <w:rPr>
              <w:rFonts w:hint="eastAsia" w:asciiTheme="minorEastAsia" w:hAnsiTheme="minorEastAsia" w:eastAsiaTheme="minorEastAsia" w:cstheme="minorEastAsia"/>
              <w:b w:val="0"/>
              <w:bCs/>
              <w:sz w:val="32"/>
              <w:szCs w:val="32"/>
            </w:rPr>
          </w:pP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HYPERLINK \l _Toc31605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5.1、绩效评价得分</w:t>
          </w:r>
          <w:r>
            <w:rPr>
              <w:rFonts w:hint="eastAsia" w:asciiTheme="minorEastAsia" w:hAnsiTheme="minorEastAsia" w:eastAsiaTheme="minorEastAsia" w:cstheme="minorEastAsia"/>
              <w:b w:val="0"/>
              <w:bCs/>
              <w:sz w:val="32"/>
              <w:szCs w:val="32"/>
            </w:rPr>
            <w:tab/>
          </w: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PAGEREF _Toc31605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12</w:t>
          </w:r>
          <w:r>
            <w:rPr>
              <w:rFonts w:hint="eastAsia" w:asciiTheme="minorEastAsia" w:hAnsiTheme="minorEastAsia" w:eastAsiaTheme="minorEastAsia" w:cstheme="minorEastAsia"/>
              <w:b w:val="0"/>
              <w:bCs/>
              <w:sz w:val="32"/>
              <w:szCs w:val="32"/>
            </w:rPr>
            <w:fldChar w:fldCharType="end"/>
          </w:r>
          <w:r>
            <w:rPr>
              <w:rFonts w:hint="eastAsia" w:asciiTheme="minorEastAsia" w:hAnsiTheme="minorEastAsia" w:eastAsiaTheme="minorEastAsia" w:cstheme="minorEastAsia"/>
              <w:b w:val="0"/>
              <w:bCs/>
              <w:sz w:val="32"/>
              <w:szCs w:val="32"/>
            </w:rPr>
            <w:fldChar w:fldCharType="end"/>
          </w:r>
        </w:p>
        <w:p>
          <w:pPr>
            <w:pStyle w:val="18"/>
            <w:tabs>
              <w:tab w:val="right" w:leader="dot" w:pos="8306"/>
            </w:tabs>
            <w:rPr>
              <w:rFonts w:hint="eastAsia" w:asciiTheme="minorEastAsia" w:hAnsiTheme="minorEastAsia" w:eastAsiaTheme="minorEastAsia" w:cstheme="minorEastAsia"/>
              <w:b w:val="0"/>
              <w:bCs/>
              <w:sz w:val="32"/>
              <w:szCs w:val="32"/>
            </w:rPr>
          </w:pP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HYPERLINK \l _Toc15645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5.2、存在绩效问题</w:t>
          </w:r>
          <w:r>
            <w:rPr>
              <w:rFonts w:hint="eastAsia" w:asciiTheme="minorEastAsia" w:hAnsiTheme="minorEastAsia" w:eastAsiaTheme="minorEastAsia" w:cstheme="minorEastAsia"/>
              <w:b w:val="0"/>
              <w:bCs/>
              <w:sz w:val="32"/>
              <w:szCs w:val="32"/>
            </w:rPr>
            <w:tab/>
          </w: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PAGEREF _Toc15645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12</w:t>
          </w:r>
          <w:r>
            <w:rPr>
              <w:rFonts w:hint="eastAsia" w:asciiTheme="minorEastAsia" w:hAnsiTheme="minorEastAsia" w:eastAsiaTheme="minorEastAsia" w:cstheme="minorEastAsia"/>
              <w:b w:val="0"/>
              <w:bCs/>
              <w:sz w:val="32"/>
              <w:szCs w:val="32"/>
            </w:rPr>
            <w:fldChar w:fldCharType="end"/>
          </w:r>
          <w:r>
            <w:rPr>
              <w:rFonts w:hint="eastAsia" w:asciiTheme="minorEastAsia" w:hAnsiTheme="minorEastAsia" w:eastAsiaTheme="minorEastAsia" w:cstheme="minorEastAsia"/>
              <w:b w:val="0"/>
              <w:bCs/>
              <w:sz w:val="32"/>
              <w:szCs w:val="32"/>
            </w:rPr>
            <w:fldChar w:fldCharType="end"/>
          </w:r>
        </w:p>
        <w:p>
          <w:pPr>
            <w:pStyle w:val="17"/>
            <w:tabs>
              <w:tab w:val="right" w:leader="dot" w:pos="8306"/>
            </w:tabs>
            <w:rPr>
              <w:rFonts w:hint="eastAsia" w:asciiTheme="minorEastAsia" w:hAnsiTheme="minorEastAsia" w:eastAsiaTheme="minorEastAsia" w:cstheme="minorEastAsia"/>
              <w:b w:val="0"/>
              <w:bCs/>
              <w:sz w:val="32"/>
              <w:szCs w:val="32"/>
            </w:rPr>
          </w:pP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HYPERLINK \l _Toc5276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6、经验教训与建议</w:t>
          </w:r>
          <w:r>
            <w:rPr>
              <w:rFonts w:hint="eastAsia" w:asciiTheme="minorEastAsia" w:hAnsiTheme="minorEastAsia" w:eastAsiaTheme="minorEastAsia" w:cstheme="minorEastAsia"/>
              <w:b w:val="0"/>
              <w:bCs/>
              <w:sz w:val="32"/>
              <w:szCs w:val="32"/>
            </w:rPr>
            <w:tab/>
          </w: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PAGEREF _Toc5276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13</w:t>
          </w:r>
          <w:r>
            <w:rPr>
              <w:rFonts w:hint="eastAsia" w:asciiTheme="minorEastAsia" w:hAnsiTheme="minorEastAsia" w:eastAsiaTheme="minorEastAsia" w:cstheme="minorEastAsia"/>
              <w:b w:val="0"/>
              <w:bCs/>
              <w:sz w:val="32"/>
              <w:szCs w:val="32"/>
            </w:rPr>
            <w:fldChar w:fldCharType="end"/>
          </w:r>
          <w:r>
            <w:rPr>
              <w:rFonts w:hint="eastAsia" w:asciiTheme="minorEastAsia" w:hAnsiTheme="minorEastAsia" w:eastAsiaTheme="minorEastAsia" w:cstheme="minorEastAsia"/>
              <w:b w:val="0"/>
              <w:bCs/>
              <w:sz w:val="32"/>
              <w:szCs w:val="32"/>
            </w:rPr>
            <w:fldChar w:fldCharType="end"/>
          </w:r>
        </w:p>
        <w:p>
          <w:pPr>
            <w:pStyle w:val="18"/>
            <w:tabs>
              <w:tab w:val="right" w:leader="dot" w:pos="8306"/>
            </w:tabs>
            <w:rPr>
              <w:rFonts w:hint="eastAsia" w:asciiTheme="minorEastAsia" w:hAnsiTheme="minorEastAsia" w:eastAsiaTheme="minorEastAsia" w:cstheme="minorEastAsia"/>
              <w:b w:val="0"/>
              <w:bCs/>
              <w:sz w:val="32"/>
              <w:szCs w:val="32"/>
            </w:rPr>
          </w:pP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HYPERLINK \l _Toc13672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6.1、经验教训</w:t>
          </w:r>
          <w:r>
            <w:rPr>
              <w:rFonts w:hint="eastAsia" w:asciiTheme="minorEastAsia" w:hAnsiTheme="minorEastAsia" w:eastAsiaTheme="minorEastAsia" w:cstheme="minorEastAsia"/>
              <w:b w:val="0"/>
              <w:bCs/>
              <w:sz w:val="32"/>
              <w:szCs w:val="32"/>
            </w:rPr>
            <w:tab/>
          </w: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PAGEREF _Toc13672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13</w:t>
          </w:r>
          <w:r>
            <w:rPr>
              <w:rFonts w:hint="eastAsia" w:asciiTheme="minorEastAsia" w:hAnsiTheme="minorEastAsia" w:eastAsiaTheme="minorEastAsia" w:cstheme="minorEastAsia"/>
              <w:b w:val="0"/>
              <w:bCs/>
              <w:sz w:val="32"/>
              <w:szCs w:val="32"/>
            </w:rPr>
            <w:fldChar w:fldCharType="end"/>
          </w:r>
          <w:r>
            <w:rPr>
              <w:rFonts w:hint="eastAsia" w:asciiTheme="minorEastAsia" w:hAnsiTheme="minorEastAsia" w:eastAsiaTheme="minorEastAsia" w:cstheme="minorEastAsia"/>
              <w:b w:val="0"/>
              <w:bCs/>
              <w:sz w:val="32"/>
              <w:szCs w:val="32"/>
            </w:rPr>
            <w:fldChar w:fldCharType="end"/>
          </w:r>
        </w:p>
        <w:p>
          <w:pPr>
            <w:pStyle w:val="17"/>
            <w:tabs>
              <w:tab w:val="right" w:leader="dot" w:pos="8306"/>
            </w:tabs>
            <w:rPr>
              <w:rFonts w:hint="eastAsia" w:asciiTheme="minorEastAsia" w:hAnsiTheme="minorEastAsia" w:eastAsiaTheme="minorEastAsia" w:cstheme="minorEastAsia"/>
              <w:b w:val="0"/>
              <w:bCs/>
              <w:sz w:val="32"/>
              <w:szCs w:val="32"/>
            </w:rPr>
          </w:pP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HYPERLINK \l _Toc10008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6.2、建议</w:t>
          </w:r>
          <w:r>
            <w:rPr>
              <w:rFonts w:hint="eastAsia" w:asciiTheme="minorEastAsia" w:hAnsiTheme="minorEastAsia" w:eastAsiaTheme="minorEastAsia" w:cstheme="minorEastAsia"/>
              <w:b w:val="0"/>
              <w:bCs/>
              <w:sz w:val="32"/>
              <w:szCs w:val="32"/>
            </w:rPr>
            <w:tab/>
          </w:r>
          <w:r>
            <w:rPr>
              <w:rFonts w:hint="eastAsia" w:asciiTheme="minorEastAsia" w:hAnsiTheme="minorEastAsia" w:eastAsiaTheme="minorEastAsia" w:cstheme="minorEastAsia"/>
              <w:b w:val="0"/>
              <w:bCs/>
              <w:sz w:val="32"/>
              <w:szCs w:val="32"/>
            </w:rPr>
            <w:fldChar w:fldCharType="begin"/>
          </w:r>
          <w:r>
            <w:rPr>
              <w:rFonts w:hint="eastAsia" w:asciiTheme="minorEastAsia" w:hAnsiTheme="minorEastAsia" w:eastAsiaTheme="minorEastAsia" w:cstheme="minorEastAsia"/>
              <w:b w:val="0"/>
              <w:bCs/>
              <w:sz w:val="32"/>
              <w:szCs w:val="32"/>
            </w:rPr>
            <w:instrText xml:space="preserve"> PAGEREF _Toc10008 </w:instrText>
          </w:r>
          <w:r>
            <w:rPr>
              <w:rFonts w:hint="eastAsia" w:asciiTheme="minorEastAsia" w:hAnsiTheme="minorEastAsia" w:eastAsiaTheme="minorEastAsia" w:cstheme="minorEastAsia"/>
              <w:b w:val="0"/>
              <w:bCs/>
              <w:sz w:val="32"/>
              <w:szCs w:val="32"/>
            </w:rPr>
            <w:fldChar w:fldCharType="separate"/>
          </w:r>
          <w:r>
            <w:rPr>
              <w:rFonts w:hint="eastAsia" w:asciiTheme="minorEastAsia" w:hAnsiTheme="minorEastAsia" w:eastAsiaTheme="minorEastAsia" w:cstheme="minorEastAsia"/>
              <w:b w:val="0"/>
              <w:bCs/>
              <w:sz w:val="32"/>
              <w:szCs w:val="32"/>
            </w:rPr>
            <w:t>13</w:t>
          </w:r>
          <w:r>
            <w:rPr>
              <w:rFonts w:hint="eastAsia" w:asciiTheme="minorEastAsia" w:hAnsiTheme="minorEastAsia" w:eastAsiaTheme="minorEastAsia" w:cstheme="minorEastAsia"/>
              <w:b w:val="0"/>
              <w:bCs/>
              <w:sz w:val="32"/>
              <w:szCs w:val="32"/>
            </w:rPr>
            <w:fldChar w:fldCharType="end"/>
          </w:r>
          <w:r>
            <w:rPr>
              <w:rFonts w:hint="eastAsia" w:asciiTheme="minorEastAsia" w:hAnsiTheme="minorEastAsia" w:eastAsiaTheme="minorEastAsia" w:cstheme="minorEastAsia"/>
              <w:b w:val="0"/>
              <w:bCs/>
              <w:sz w:val="32"/>
              <w:szCs w:val="32"/>
            </w:rPr>
            <w:fldChar w:fldCharType="end"/>
          </w:r>
        </w:p>
        <w:p>
          <w:pPr>
            <w:pStyle w:val="17"/>
            <w:tabs>
              <w:tab w:val="right" w:leader="dot" w:pos="8306"/>
            </w:tabs>
            <w:rPr>
              <w:rFonts w:hint="eastAsia" w:asciiTheme="minorEastAsia" w:hAnsiTheme="minorEastAsia" w:eastAsiaTheme="minorEastAsia" w:cstheme="minorEastAsia"/>
              <w:b/>
              <w:sz w:val="32"/>
              <w:szCs w:val="32"/>
            </w:rPr>
          </w:pPr>
        </w:p>
        <w:p>
          <w:pPr>
            <w:rPr>
              <w:rFonts w:hint="eastAsia"/>
            </w:rPr>
          </w:pPr>
          <w:r>
            <w:rPr>
              <w:rFonts w:hint="eastAsia" w:asciiTheme="minorEastAsia" w:hAnsiTheme="minorEastAsia" w:eastAsiaTheme="minorEastAsia" w:cstheme="minorEastAsia"/>
              <w:b/>
              <w:sz w:val="32"/>
              <w:szCs w:val="32"/>
            </w:rPr>
            <w:fldChar w:fldCharType="end"/>
          </w:r>
          <w:bookmarkStart w:id="0" w:name="_Toc22013"/>
        </w:p>
      </w:sdtContent>
    </w:sdt>
    <w:p>
      <w:pPr>
        <w:pStyle w:val="4"/>
        <w:bidi w:val="0"/>
      </w:pPr>
      <w:r>
        <w:rPr>
          <w:rFonts w:hint="eastAsia"/>
        </w:rPr>
        <w:t>1、引言</w:t>
      </w:r>
      <w:bookmarkEnd w:id="0"/>
    </w:p>
    <w:p>
      <w:pPr>
        <w:ind w:firstLine="560"/>
      </w:pPr>
      <w:r>
        <w:rPr>
          <w:rFonts w:hint="eastAsia" w:ascii="宋体" w:hAnsi="宋体" w:cs="宋体"/>
        </w:rPr>
        <w:t>为贯彻落实全面推进预算绩效管理工作的要求，根据《全面实施预算绩效管理的意见》、《关于开展部门整体绩效评价试点的通知》（连财绩〔202</w:t>
      </w:r>
      <w:r>
        <w:rPr>
          <w:rFonts w:hint="eastAsia" w:ascii="宋体" w:hAnsi="宋体" w:cs="宋体"/>
          <w:lang w:val="en-US" w:eastAsia="zh-CN"/>
        </w:rPr>
        <w:t>2</w:t>
      </w:r>
      <w:r>
        <w:rPr>
          <w:rFonts w:hint="eastAsia" w:ascii="宋体" w:hAnsi="宋体" w:cs="宋体"/>
        </w:rPr>
        <w:t>〕3号）、《连云港市市级财政预算绩效目标管理办法》相关文件的要求和指导，对本单位绩效目标设立的规范、合理及资金匹配度进行评估，对绩效目标的完成情况进行合理评价，现汇报如下：</w:t>
      </w:r>
    </w:p>
    <w:p>
      <w:pPr>
        <w:pStyle w:val="5"/>
        <w:bidi w:val="0"/>
        <w:rPr>
          <w:rFonts w:hint="eastAsia"/>
        </w:rPr>
      </w:pPr>
      <w:bookmarkStart w:id="1" w:name="_Toc1891"/>
      <w:bookmarkStart w:id="2" w:name="_Toc9071"/>
      <w:r>
        <w:rPr>
          <w:rFonts w:hint="eastAsia"/>
          <w:lang w:val="en-US" w:eastAsia="zh-CN"/>
        </w:rPr>
        <w:t>1.1、</w:t>
      </w:r>
      <w:r>
        <w:rPr>
          <w:rFonts w:hint="eastAsia"/>
        </w:rPr>
        <w:t>部门职责概述</w:t>
      </w:r>
      <w:bookmarkEnd w:id="1"/>
      <w:bookmarkEnd w:id="2"/>
    </w:p>
    <w:p>
      <w:pPr>
        <w:pStyle w:val="6"/>
        <w:bidi w:val="0"/>
        <w:rPr>
          <w:rFonts w:hint="default"/>
          <w:lang w:val="en-US" w:eastAsia="zh-CN"/>
        </w:rPr>
      </w:pPr>
      <w:bookmarkStart w:id="3" w:name="_Toc13402"/>
      <w:bookmarkStart w:id="4" w:name="_Toc8820"/>
      <w:r>
        <w:rPr>
          <w:rFonts w:hint="default"/>
          <w:lang w:val="en-US" w:eastAsia="zh-CN"/>
        </w:rPr>
        <w:t>1.1.1主要职能</w:t>
      </w:r>
      <w:bookmarkEnd w:id="3"/>
      <w:bookmarkEnd w:id="4"/>
      <w:bookmarkStart w:id="5" w:name="_Toc24929"/>
    </w:p>
    <w:p>
      <w:pPr>
        <w:pStyle w:val="6"/>
        <w:bidi w:val="0"/>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0"/>
          <w:sz w:val="28"/>
          <w:szCs w:val="28"/>
        </w:rPr>
        <w:t>负责贯彻执行发展散装水泥的法律、法规、规章和政策；编制散装水泥发展规划和年度计划，并组织实施、检查和监督；按照国家有关规定征收、使用和管理散装水泥专项资金，负责散装水泥工作的信息交流、宣传教育、专业培训、统计和新技术、新工艺、新设备的推广应用；协调解决发展散装水泥工作出现的问题；负责本地区预拌混凝土、预拌砂浆推广应用、生产企业产品质量和建设施工现场的监督检查、运输协调服务。</w:t>
      </w:r>
    </w:p>
    <w:p>
      <w:pPr>
        <w:pStyle w:val="6"/>
        <w:bidi w:val="0"/>
        <w:rPr>
          <w:rFonts w:hint="default"/>
          <w:lang w:val="en-US" w:eastAsia="zh-CN"/>
        </w:rPr>
      </w:pPr>
      <w:r>
        <w:rPr>
          <w:rFonts w:hint="default"/>
          <w:lang w:val="en-US" w:eastAsia="zh-CN"/>
        </w:rPr>
        <w:t>1.1.2部门机构设置及预算单位构成情况</w:t>
      </w:r>
    </w:p>
    <w:p>
      <w:pPr>
        <w:ind w:firstLine="560"/>
        <w:rPr>
          <w:rFonts w:hint="eastAsia" w:ascii="宋体" w:hAnsi="宋体" w:cs="宋体"/>
          <w:lang w:val="en-US" w:eastAsia="zh-CN"/>
        </w:rPr>
      </w:pPr>
      <w:r>
        <w:rPr>
          <w:rFonts w:hint="eastAsia" w:ascii="宋体" w:hAnsi="宋体" w:cs="宋体"/>
          <w:lang w:val="en-US" w:eastAsia="zh-CN"/>
        </w:rPr>
        <w:t>我单位是一级预算单位，连云港市散装水泥办公室本级，根据部门职责分工，本部门设置3个内设机构，分别是办公室、财务科、稽查科三个内设机构。</w:t>
      </w:r>
    </w:p>
    <w:p>
      <w:pPr>
        <w:ind w:firstLine="560"/>
        <w:rPr>
          <w:rFonts w:hint="eastAsia" w:ascii="宋体" w:hAnsi="宋体" w:cs="宋体"/>
          <w:lang w:eastAsia="zh-CN"/>
        </w:rPr>
      </w:pPr>
      <w:r>
        <w:rPr>
          <w:rFonts w:hint="eastAsia" w:ascii="宋体" w:hAnsi="宋体" w:cs="宋体"/>
          <w:lang w:val="en-US" w:eastAsia="zh-CN"/>
        </w:rPr>
        <w:t>从预算单位构成看，纳入</w:t>
      </w:r>
      <w:r>
        <w:rPr>
          <w:rFonts w:hint="eastAsia" w:ascii="宋体" w:hAnsi="宋体" w:cs="宋体"/>
        </w:rPr>
        <w:t>市</w:t>
      </w:r>
      <w:r>
        <w:rPr>
          <w:rFonts w:hint="eastAsia" w:ascii="宋体" w:hAnsi="宋体" w:cs="宋体"/>
          <w:lang w:val="en-US" w:eastAsia="zh-CN"/>
        </w:rPr>
        <w:t>散装水泥办公室2021年部门汇总决算编制范围的预算单位共计1家</w:t>
      </w:r>
      <w:r>
        <w:rPr>
          <w:rFonts w:hint="eastAsia" w:ascii="宋体" w:hAnsi="宋体" w:cs="宋体"/>
          <w:lang w:eastAsia="zh-CN"/>
        </w:rPr>
        <w:t>。</w:t>
      </w:r>
    </w:p>
    <w:p>
      <w:pPr>
        <w:pStyle w:val="6"/>
        <w:bidi w:val="0"/>
        <w:rPr>
          <w:rFonts w:hint="default"/>
        </w:rPr>
      </w:pPr>
      <w:r>
        <w:rPr>
          <w:rFonts w:hint="default"/>
          <w:lang w:val="en-US" w:eastAsia="zh-CN"/>
        </w:rPr>
        <w:t>1.1.3</w:t>
      </w:r>
      <w:r>
        <w:rPr>
          <w:rFonts w:hint="default"/>
        </w:rPr>
        <w:t>人员情况</w:t>
      </w:r>
    </w:p>
    <w:p>
      <w:pPr>
        <w:pStyle w:val="13"/>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Chars="0" w:right="0" w:rightChars="0" w:firstLine="560" w:firstLineChars="200"/>
        <w:jc w:val="both"/>
        <w:textAlignment w:val="auto"/>
        <w:rPr>
          <w:rFonts w:hint="default"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连云港</w:t>
      </w:r>
      <w:r>
        <w:rPr>
          <w:rFonts w:hint="eastAsia" w:ascii="宋体" w:hAnsi="宋体" w:cs="宋体"/>
          <w:sz w:val="28"/>
          <w:szCs w:val="28"/>
        </w:rPr>
        <w:t>市</w:t>
      </w:r>
      <w:r>
        <w:rPr>
          <w:rFonts w:hint="eastAsia" w:ascii="宋体" w:hAnsi="宋体" w:cs="宋体"/>
          <w:sz w:val="28"/>
          <w:szCs w:val="28"/>
          <w:lang w:val="en-US" w:eastAsia="zh-CN"/>
        </w:rPr>
        <w:t>散装水泥办公室</w:t>
      </w:r>
      <w:r>
        <w:rPr>
          <w:rFonts w:hint="default" w:ascii="宋体" w:hAnsi="宋体" w:eastAsia="宋体" w:cs="宋体"/>
          <w:color w:val="auto"/>
          <w:kern w:val="2"/>
          <w:sz w:val="28"/>
          <w:szCs w:val="24"/>
          <w:lang w:val="en-US" w:eastAsia="zh-CN" w:bidi="ar-SA"/>
        </w:rPr>
        <w:t>编制部门核定人员情况</w:t>
      </w:r>
      <w:r>
        <w:rPr>
          <w:rFonts w:hint="eastAsia" w:ascii="宋体" w:hAnsi="宋体" w:eastAsia="宋体" w:cs="宋体"/>
          <w:color w:val="auto"/>
          <w:kern w:val="2"/>
          <w:sz w:val="28"/>
          <w:szCs w:val="24"/>
          <w:lang w:val="en-US" w:eastAsia="zh-CN" w:bidi="ar-SA"/>
        </w:rPr>
        <w:t>，</w:t>
      </w:r>
      <w:r>
        <w:rPr>
          <w:rFonts w:hint="default" w:ascii="宋体" w:hAnsi="宋体" w:eastAsia="宋体" w:cs="宋体"/>
          <w:color w:val="auto"/>
          <w:kern w:val="2"/>
          <w:sz w:val="28"/>
          <w:szCs w:val="24"/>
          <w:lang w:val="en-US" w:eastAsia="zh-CN" w:bidi="ar-SA"/>
        </w:rPr>
        <w:t>202</w:t>
      </w:r>
      <w:r>
        <w:rPr>
          <w:rFonts w:hint="eastAsia" w:ascii="宋体" w:hAnsi="宋体" w:eastAsia="宋体" w:cs="宋体"/>
          <w:color w:val="auto"/>
          <w:kern w:val="2"/>
          <w:sz w:val="28"/>
          <w:szCs w:val="24"/>
          <w:lang w:val="en-US" w:eastAsia="zh-CN" w:bidi="ar-SA"/>
        </w:rPr>
        <w:t>1</w:t>
      </w:r>
      <w:r>
        <w:rPr>
          <w:rFonts w:hint="default" w:ascii="宋体" w:hAnsi="宋体" w:eastAsia="宋体" w:cs="宋体"/>
          <w:color w:val="auto"/>
          <w:kern w:val="2"/>
          <w:sz w:val="28"/>
          <w:szCs w:val="24"/>
          <w:lang w:val="en-US" w:eastAsia="zh-CN" w:bidi="ar-SA"/>
        </w:rPr>
        <w:t>年在职人数</w:t>
      </w:r>
      <w:r>
        <w:rPr>
          <w:rFonts w:hint="eastAsia" w:ascii="宋体" w:hAnsi="宋体" w:cs="宋体"/>
          <w:color w:val="auto"/>
          <w:kern w:val="2"/>
          <w:sz w:val="28"/>
          <w:szCs w:val="24"/>
          <w:lang w:val="en-US" w:eastAsia="zh-CN" w:bidi="ar-SA"/>
        </w:rPr>
        <w:t>2</w:t>
      </w:r>
      <w:r>
        <w:rPr>
          <w:rFonts w:hint="default" w:ascii="宋体" w:hAnsi="宋体" w:eastAsia="宋体" w:cs="宋体"/>
          <w:color w:val="auto"/>
          <w:kern w:val="2"/>
          <w:sz w:val="28"/>
          <w:szCs w:val="24"/>
          <w:lang w:val="en-US" w:eastAsia="zh-CN" w:bidi="ar-SA"/>
        </w:rPr>
        <w:t>人。</w:t>
      </w:r>
    </w:p>
    <w:p>
      <w:pPr>
        <w:ind w:firstLine="560"/>
        <w:rPr>
          <w:rFonts w:hint="eastAsia" w:ascii="宋体" w:hAnsi="宋体" w:cs="宋体"/>
          <w:lang w:val="en-US" w:eastAsia="zh-CN"/>
        </w:rPr>
      </w:pPr>
    </w:p>
    <w:p>
      <w:pPr>
        <w:pStyle w:val="5"/>
        <w:bidi w:val="0"/>
        <w:rPr>
          <w:rFonts w:hint="eastAsia"/>
        </w:rPr>
      </w:pPr>
      <w:bookmarkStart w:id="6" w:name="_Toc27648"/>
      <w:r>
        <w:rPr>
          <w:rFonts w:hint="eastAsia"/>
          <w:lang w:val="en-US" w:eastAsia="zh-CN"/>
        </w:rPr>
        <w:t>1.2、</w:t>
      </w:r>
      <w:r>
        <w:rPr>
          <w:rFonts w:hint="eastAsia"/>
        </w:rPr>
        <w:t>部门收支描述</w:t>
      </w:r>
      <w:bookmarkEnd w:id="5"/>
      <w:bookmarkEnd w:id="6"/>
    </w:p>
    <w:p>
      <w:pPr>
        <w:pStyle w:val="6"/>
        <w:bidi w:val="0"/>
      </w:pPr>
      <w:bookmarkStart w:id="7" w:name="_Toc15807"/>
      <w:bookmarkStart w:id="8" w:name="_Toc27144"/>
      <w:r>
        <w:rPr>
          <w:rFonts w:hint="default"/>
          <w:lang w:val="en-US" w:eastAsia="zh-CN"/>
        </w:rPr>
        <w:t>1.2.1</w:t>
      </w:r>
      <w:r>
        <w:rPr>
          <w:rFonts w:hint="default"/>
        </w:rPr>
        <w:t>收入支出总体情况说明</w:t>
      </w:r>
      <w:bookmarkEnd w:id="7"/>
      <w:bookmarkEnd w:id="8"/>
    </w:p>
    <w:p>
      <w:pPr>
        <w:keepNext w:val="0"/>
        <w:keepLines w:val="0"/>
        <w:pageBreakBefore w:val="0"/>
        <w:widowControl w:val="0"/>
        <w:kinsoku/>
        <w:wordWrap/>
        <w:overflowPunct/>
        <w:topLinePunct w:val="0"/>
        <w:autoSpaceDE/>
        <w:autoSpaceDN/>
        <w:bidi w:val="0"/>
        <w:adjustRightInd/>
        <w:snapToGrid/>
        <w:spacing w:line="360" w:lineRule="auto"/>
        <w:ind w:left="280" w:leftChars="100" w:firstLine="280" w:firstLineChars="100"/>
        <w:textAlignment w:val="auto"/>
        <w:rPr>
          <w:rFonts w:hint="default"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连云港</w:t>
      </w:r>
      <w:r>
        <w:rPr>
          <w:rFonts w:hint="eastAsia" w:ascii="宋体" w:hAnsi="宋体" w:cs="宋体"/>
          <w:b w:val="0"/>
          <w:bCs w:val="0"/>
          <w:sz w:val="28"/>
          <w:szCs w:val="28"/>
          <w:highlight w:val="none"/>
          <w:lang w:val="en-US" w:eastAsia="zh-CN"/>
        </w:rPr>
        <w:t>市散装水泥办公室</w:t>
      </w:r>
      <w:r>
        <w:rPr>
          <w:rFonts w:hint="default" w:ascii="宋体" w:hAnsi="宋体" w:eastAsia="宋体" w:cs="宋体"/>
          <w:color w:val="auto"/>
          <w:kern w:val="2"/>
          <w:sz w:val="28"/>
          <w:szCs w:val="24"/>
          <w:lang w:val="en-US" w:eastAsia="zh-CN" w:bidi="ar-SA"/>
        </w:rPr>
        <w:t>202</w:t>
      </w:r>
      <w:r>
        <w:rPr>
          <w:rFonts w:hint="eastAsia" w:ascii="宋体" w:hAnsi="宋体" w:eastAsia="宋体" w:cs="宋体"/>
          <w:color w:val="auto"/>
          <w:kern w:val="2"/>
          <w:sz w:val="28"/>
          <w:szCs w:val="24"/>
          <w:lang w:val="en-US" w:eastAsia="zh-CN" w:bidi="ar-SA"/>
        </w:rPr>
        <w:t>1</w:t>
      </w:r>
      <w:r>
        <w:rPr>
          <w:rFonts w:hint="default" w:ascii="宋体" w:hAnsi="宋体" w:eastAsia="宋体" w:cs="宋体"/>
          <w:color w:val="auto"/>
          <w:kern w:val="2"/>
          <w:sz w:val="28"/>
          <w:szCs w:val="24"/>
          <w:lang w:val="en-US" w:eastAsia="zh-CN" w:bidi="ar-SA"/>
        </w:rPr>
        <w:t>年度收入总计</w:t>
      </w:r>
      <w:r>
        <w:rPr>
          <w:rFonts w:hint="eastAsia" w:ascii="宋体" w:hAnsi="宋体" w:cs="宋体"/>
          <w:color w:val="auto"/>
          <w:kern w:val="2"/>
          <w:sz w:val="28"/>
          <w:szCs w:val="24"/>
          <w:lang w:val="en-US" w:eastAsia="zh-CN" w:bidi="ar-SA"/>
        </w:rPr>
        <w:t>113.96</w:t>
      </w:r>
      <w:r>
        <w:rPr>
          <w:rFonts w:hint="default" w:ascii="宋体" w:hAnsi="宋体" w:eastAsia="宋体" w:cs="宋体"/>
          <w:color w:val="auto"/>
          <w:kern w:val="2"/>
          <w:sz w:val="28"/>
          <w:szCs w:val="24"/>
          <w:lang w:val="en-US" w:eastAsia="zh-CN" w:bidi="ar-SA"/>
        </w:rPr>
        <w:t>万元，支出总计</w:t>
      </w:r>
      <w:r>
        <w:rPr>
          <w:rFonts w:hint="eastAsia" w:ascii="宋体" w:hAnsi="宋体" w:cs="宋体"/>
          <w:color w:val="auto"/>
          <w:kern w:val="2"/>
          <w:sz w:val="28"/>
          <w:szCs w:val="24"/>
          <w:lang w:val="en-US" w:eastAsia="zh-CN" w:bidi="ar-SA"/>
        </w:rPr>
        <w:t>113.96</w:t>
      </w:r>
      <w:r>
        <w:rPr>
          <w:rFonts w:hint="default" w:ascii="宋体" w:hAnsi="宋体" w:eastAsia="宋体" w:cs="宋体"/>
          <w:color w:val="auto"/>
          <w:kern w:val="2"/>
          <w:sz w:val="28"/>
          <w:szCs w:val="24"/>
          <w:lang w:val="en-US" w:eastAsia="zh-CN" w:bidi="ar-SA"/>
        </w:rPr>
        <w:t>万元。其中：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（一）收入总计</w:t>
      </w:r>
      <w:r>
        <w:rPr>
          <w:rFonts w:hint="eastAsia" w:ascii="宋体" w:hAnsi="宋体" w:cs="宋体"/>
          <w:color w:val="auto"/>
          <w:kern w:val="2"/>
          <w:sz w:val="28"/>
          <w:szCs w:val="24"/>
          <w:lang w:val="en-US" w:eastAsia="zh-CN" w:bidi="ar-SA"/>
        </w:rPr>
        <w:t>113.96</w:t>
      </w:r>
      <w:r>
        <w:rPr>
          <w:rFonts w:hint="default" w:ascii="宋体" w:hAnsi="宋体" w:eastAsia="宋体" w:cs="宋体"/>
          <w:color w:val="auto"/>
          <w:kern w:val="2"/>
          <w:sz w:val="28"/>
          <w:szCs w:val="24"/>
          <w:lang w:val="en-US" w:eastAsia="zh-CN" w:bidi="ar-SA"/>
        </w:rPr>
        <w:t>万元。包括：</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财政拨款收入</w:t>
      </w:r>
      <w:r>
        <w:rPr>
          <w:rFonts w:hint="eastAsia" w:ascii="宋体" w:hAnsi="宋体" w:cs="宋体"/>
          <w:color w:val="auto"/>
          <w:kern w:val="2"/>
          <w:sz w:val="28"/>
          <w:szCs w:val="24"/>
          <w:lang w:val="en-US" w:eastAsia="zh-CN" w:bidi="ar-SA"/>
        </w:rPr>
        <w:t>113.96</w:t>
      </w:r>
      <w:r>
        <w:rPr>
          <w:rFonts w:hint="default" w:ascii="宋体" w:hAnsi="宋体" w:eastAsia="宋体" w:cs="宋体"/>
          <w:color w:val="auto"/>
          <w:kern w:val="2"/>
          <w:sz w:val="28"/>
          <w:szCs w:val="24"/>
          <w:lang w:val="en-US" w:eastAsia="zh-CN" w:bidi="ar-SA"/>
        </w:rPr>
        <w:t>万元，为当年</w:t>
      </w:r>
      <w:r>
        <w:rPr>
          <w:rFonts w:hint="eastAsia" w:ascii="宋体" w:hAnsi="宋体" w:cs="宋体"/>
          <w:color w:val="auto"/>
          <w:kern w:val="2"/>
          <w:sz w:val="28"/>
          <w:szCs w:val="24"/>
          <w:lang w:val="en-US" w:eastAsia="zh-CN" w:bidi="ar-SA"/>
        </w:rPr>
        <w:t>政府性基金预算财政拨款收入</w:t>
      </w:r>
      <w:r>
        <w:rPr>
          <w:rFonts w:hint="default" w:ascii="宋体" w:hAnsi="宋体" w:eastAsia="宋体" w:cs="宋体"/>
          <w:color w:val="auto"/>
          <w:kern w:val="2"/>
          <w:sz w:val="28"/>
          <w:szCs w:val="24"/>
          <w:lang w:val="en-US" w:eastAsia="zh-CN" w:bidi="ar-SA"/>
        </w:rPr>
        <w:t>，本年无</w:t>
      </w:r>
      <w:r>
        <w:rPr>
          <w:rFonts w:hint="eastAsia" w:ascii="宋体" w:hAnsi="宋体" w:cs="宋体"/>
          <w:color w:val="auto"/>
          <w:kern w:val="2"/>
          <w:sz w:val="28"/>
          <w:szCs w:val="24"/>
          <w:lang w:val="en-US" w:eastAsia="zh-CN" w:bidi="ar-SA"/>
        </w:rPr>
        <w:t>一般公共预算财政拨款收入</w:t>
      </w:r>
      <w:r>
        <w:rPr>
          <w:rFonts w:hint="eastAsia" w:ascii="宋体" w:hAnsi="宋体" w:eastAsia="宋体" w:cs="宋体"/>
          <w:color w:val="auto"/>
          <w:kern w:val="2"/>
          <w:sz w:val="28"/>
          <w:szCs w:val="24"/>
          <w:lang w:val="en-US" w:eastAsia="zh-CN" w:bidi="ar-SA"/>
        </w:rPr>
        <w:t>、国有资本经营预算拨款、上级补助收入、事业收入、经营收入、附属单位上缴收入和其他收入。年初结转和结余</w:t>
      </w:r>
      <w:r>
        <w:rPr>
          <w:rFonts w:hint="eastAsia" w:ascii="宋体" w:hAnsi="宋体" w:cs="宋体"/>
          <w:color w:val="auto"/>
          <w:kern w:val="2"/>
          <w:sz w:val="28"/>
          <w:szCs w:val="24"/>
          <w:lang w:val="en-US" w:eastAsia="zh-CN" w:bidi="ar-SA"/>
        </w:rPr>
        <w:t>0</w:t>
      </w:r>
      <w:r>
        <w:rPr>
          <w:rFonts w:hint="eastAsia" w:ascii="宋体" w:hAnsi="宋体" w:eastAsia="宋体" w:cs="宋体"/>
          <w:color w:val="auto"/>
          <w:kern w:val="2"/>
          <w:sz w:val="28"/>
          <w:szCs w:val="24"/>
          <w:lang w:val="en-US" w:eastAsia="zh-CN" w:bidi="ar-SA"/>
        </w:rPr>
        <w:t>万元。</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default"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（二）支出总计</w:t>
      </w:r>
      <w:r>
        <w:rPr>
          <w:rFonts w:hint="eastAsia" w:ascii="宋体" w:hAnsi="宋体" w:cs="宋体"/>
          <w:color w:val="auto"/>
          <w:kern w:val="2"/>
          <w:sz w:val="28"/>
          <w:szCs w:val="24"/>
          <w:lang w:val="en-US" w:eastAsia="zh-CN" w:bidi="ar-SA"/>
        </w:rPr>
        <w:t>113.96</w:t>
      </w:r>
      <w:r>
        <w:rPr>
          <w:rFonts w:hint="eastAsia" w:ascii="宋体" w:hAnsi="宋体" w:eastAsia="宋体" w:cs="宋体"/>
          <w:color w:val="auto"/>
          <w:kern w:val="2"/>
          <w:sz w:val="28"/>
          <w:szCs w:val="24"/>
          <w:lang w:val="en-US" w:eastAsia="zh-CN" w:bidi="ar-SA"/>
        </w:rPr>
        <w:t>万元。包括：</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1．城乡社区支出</w:t>
      </w:r>
      <w:r>
        <w:rPr>
          <w:rFonts w:hint="eastAsia" w:ascii="宋体" w:hAnsi="宋体" w:cs="宋体"/>
          <w:color w:val="auto"/>
          <w:kern w:val="2"/>
          <w:sz w:val="28"/>
          <w:szCs w:val="24"/>
          <w:lang w:val="en-US" w:eastAsia="zh-CN" w:bidi="ar-SA"/>
        </w:rPr>
        <w:t>53.24</w:t>
      </w:r>
      <w:r>
        <w:rPr>
          <w:rFonts w:hint="default" w:ascii="宋体" w:hAnsi="宋体" w:eastAsia="宋体" w:cs="宋体"/>
          <w:color w:val="auto"/>
          <w:kern w:val="2"/>
          <w:sz w:val="28"/>
          <w:szCs w:val="24"/>
          <w:lang w:val="en-US" w:eastAsia="zh-CN" w:bidi="ar-SA"/>
        </w:rPr>
        <w:t>万元，主要用于在职人员基本工资、津贴补贴、社会保障缴费和日常公用经费。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宋体" w:hAnsi="宋体" w:eastAsia="宋体" w:cs="宋体"/>
          <w:color w:val="auto"/>
          <w:kern w:val="2"/>
          <w:sz w:val="28"/>
          <w:szCs w:val="24"/>
          <w:lang w:val="en-US" w:eastAsia="zh-CN" w:bidi="ar-SA"/>
        </w:rPr>
      </w:pPr>
      <w:r>
        <w:rPr>
          <w:rFonts w:hint="eastAsia" w:ascii="宋体" w:hAnsi="宋体" w:cs="宋体"/>
          <w:color w:val="auto"/>
          <w:kern w:val="2"/>
          <w:sz w:val="28"/>
          <w:szCs w:val="24"/>
          <w:lang w:val="en-US" w:eastAsia="zh-CN" w:bidi="ar-SA"/>
        </w:rPr>
        <w:t>其他支出60.73</w:t>
      </w:r>
      <w:r>
        <w:rPr>
          <w:rFonts w:hint="default" w:ascii="宋体" w:hAnsi="宋体" w:eastAsia="宋体" w:cs="宋体"/>
          <w:color w:val="auto"/>
          <w:kern w:val="2"/>
          <w:sz w:val="28"/>
          <w:szCs w:val="24"/>
          <w:lang w:val="en-US" w:eastAsia="zh-CN" w:bidi="ar-SA"/>
        </w:rPr>
        <w:t>万元，主要用于</w:t>
      </w:r>
      <w:r>
        <w:rPr>
          <w:rFonts w:hint="eastAsia" w:ascii="宋体" w:hAnsi="宋体" w:cs="宋体"/>
          <w:color w:val="auto"/>
          <w:kern w:val="2"/>
          <w:sz w:val="28"/>
          <w:szCs w:val="24"/>
          <w:lang w:val="en-US" w:eastAsia="zh-CN" w:bidi="ar-SA"/>
        </w:rPr>
        <w:t>保障单位正常运行开展</w:t>
      </w:r>
      <w:r>
        <w:rPr>
          <w:rFonts w:hint="default" w:ascii="宋体" w:hAnsi="宋体" w:eastAsia="宋体" w:cs="宋体"/>
          <w:color w:val="auto"/>
          <w:kern w:val="2"/>
          <w:sz w:val="28"/>
          <w:szCs w:val="24"/>
          <w:lang w:val="en-US" w:eastAsia="zh-CN" w:bidi="ar-SA"/>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560" w:firstLineChars="200"/>
        <w:jc w:val="both"/>
        <w:textAlignment w:val="auto"/>
        <w:rPr>
          <w:rFonts w:hint="default"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年末结转和结余</w:t>
      </w:r>
      <w:r>
        <w:rPr>
          <w:rFonts w:hint="eastAsia" w:ascii="宋体" w:hAnsi="宋体" w:cs="宋体"/>
          <w:color w:val="auto"/>
          <w:kern w:val="2"/>
          <w:sz w:val="28"/>
          <w:szCs w:val="24"/>
          <w:lang w:val="en-US" w:eastAsia="zh-CN" w:bidi="ar-SA"/>
        </w:rPr>
        <w:t>0</w:t>
      </w:r>
      <w:r>
        <w:rPr>
          <w:rFonts w:hint="default" w:ascii="宋体" w:hAnsi="宋体" w:eastAsia="宋体" w:cs="宋体"/>
          <w:color w:val="auto"/>
          <w:kern w:val="2"/>
          <w:sz w:val="28"/>
          <w:szCs w:val="24"/>
          <w:lang w:val="en-US" w:eastAsia="zh-CN" w:bidi="ar-SA"/>
        </w:rPr>
        <w:t>万元。</w:t>
      </w:r>
    </w:p>
    <w:p>
      <w:pPr>
        <w:pStyle w:val="6"/>
        <w:bidi w:val="0"/>
        <w:rPr>
          <w:rFonts w:hint="default"/>
          <w:lang w:eastAsia="zh-CN"/>
        </w:rPr>
      </w:pPr>
      <w:bookmarkStart w:id="9" w:name="_Toc10418"/>
      <w:bookmarkStart w:id="10" w:name="_Toc6070"/>
      <w:r>
        <w:rPr>
          <w:rFonts w:hint="default"/>
          <w:lang w:val="en-US" w:eastAsia="zh-CN"/>
        </w:rPr>
        <w:t>1.2.2</w:t>
      </w:r>
      <w:r>
        <w:rPr>
          <w:rFonts w:hint="default"/>
          <w:lang w:eastAsia="zh-CN"/>
        </w:rPr>
        <w:t>收入决算情况说明</w:t>
      </w:r>
      <w:bookmarkEnd w:id="9"/>
      <w:bookmarkEnd w:id="10"/>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连云港市</w:t>
      </w:r>
      <w:r>
        <w:rPr>
          <w:rFonts w:hint="eastAsia" w:ascii="宋体" w:hAnsi="宋体" w:cs="宋体"/>
          <w:color w:val="auto"/>
          <w:kern w:val="2"/>
          <w:sz w:val="28"/>
          <w:szCs w:val="24"/>
          <w:lang w:val="en-US" w:eastAsia="zh-CN" w:bidi="ar-SA"/>
        </w:rPr>
        <w:t>散装水泥办公室</w:t>
      </w:r>
      <w:r>
        <w:rPr>
          <w:rFonts w:hint="default" w:ascii="宋体" w:hAnsi="宋体" w:eastAsia="宋体" w:cs="宋体"/>
          <w:color w:val="auto"/>
          <w:kern w:val="2"/>
          <w:sz w:val="28"/>
          <w:szCs w:val="24"/>
          <w:lang w:val="en-US" w:eastAsia="zh-CN" w:bidi="ar-SA"/>
        </w:rPr>
        <w:t>本年收入合计</w:t>
      </w:r>
      <w:r>
        <w:rPr>
          <w:rFonts w:hint="eastAsia" w:ascii="宋体" w:hAnsi="宋体" w:cs="宋体"/>
          <w:color w:val="auto"/>
          <w:kern w:val="2"/>
          <w:sz w:val="28"/>
          <w:szCs w:val="24"/>
          <w:lang w:val="en-US" w:eastAsia="zh-CN" w:bidi="ar-SA"/>
        </w:rPr>
        <w:t>113.96</w:t>
      </w:r>
      <w:r>
        <w:rPr>
          <w:rFonts w:hint="default" w:ascii="宋体" w:hAnsi="宋体" w:eastAsia="宋体" w:cs="宋体"/>
          <w:color w:val="auto"/>
          <w:kern w:val="2"/>
          <w:sz w:val="28"/>
          <w:szCs w:val="24"/>
          <w:lang w:val="en-US" w:eastAsia="zh-CN" w:bidi="ar-SA"/>
        </w:rPr>
        <w:t>万元，其中：财政拨款收入</w:t>
      </w:r>
      <w:r>
        <w:rPr>
          <w:rFonts w:hint="eastAsia" w:ascii="宋体" w:hAnsi="宋体" w:cs="宋体"/>
          <w:color w:val="auto"/>
          <w:kern w:val="2"/>
          <w:sz w:val="28"/>
          <w:szCs w:val="24"/>
          <w:lang w:val="en-US" w:eastAsia="zh-CN" w:bidi="ar-SA"/>
        </w:rPr>
        <w:t>113.96</w:t>
      </w:r>
      <w:r>
        <w:rPr>
          <w:rFonts w:hint="default" w:ascii="宋体" w:hAnsi="宋体" w:eastAsia="宋体" w:cs="宋体"/>
          <w:color w:val="auto"/>
          <w:kern w:val="2"/>
          <w:sz w:val="28"/>
          <w:szCs w:val="24"/>
          <w:lang w:val="en-US" w:eastAsia="zh-CN" w:bidi="ar-SA"/>
        </w:rPr>
        <w:t>万元，占100 %；上级补助收入0万元，占0 %；事业收入0万元，占0%；经营收入0万元，占0 %；附属单位上缴收入0万元，占0 %；其他收入0万元，占0 %。（可用饼图显示本年收入结构图）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sz w:val="32"/>
          <w:szCs w:val="32"/>
          <w:lang w:eastAsia="zh-CN"/>
        </w:rPr>
      </w:pPr>
      <w:r>
        <w:rPr>
          <w:rFonts w:hint="default" w:ascii="宋体" w:hAnsi="宋体" w:eastAsia="宋体" w:cs="宋体"/>
          <w:color w:val="auto"/>
          <w:kern w:val="2"/>
          <w:sz w:val="28"/>
          <w:szCs w:val="24"/>
          <w:lang w:val="en-US" w:eastAsia="zh-CN" w:bidi="ar-SA"/>
        </w:rPr>
        <w:drawing>
          <wp:anchor distT="0" distB="0" distL="114300" distR="114300" simplePos="0" relativeHeight="251659264" behindDoc="0" locked="0" layoutInCell="1" allowOverlap="1">
            <wp:simplePos x="0" y="0"/>
            <wp:positionH relativeFrom="column">
              <wp:posOffset>1258570</wp:posOffset>
            </wp:positionH>
            <wp:positionV relativeFrom="page">
              <wp:posOffset>3700145</wp:posOffset>
            </wp:positionV>
            <wp:extent cx="3357245" cy="2033270"/>
            <wp:effectExtent l="0" t="0" r="14605" b="5080"/>
            <wp:wrapTopAndBottom/>
            <wp:docPr id="1" name="图片 2" descr="图片1修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1修改"/>
                    <pic:cNvPicPr>
                      <a:picLocks noChangeAspect="1"/>
                    </pic:cNvPicPr>
                  </pic:nvPicPr>
                  <pic:blipFill>
                    <a:blip r:embed="rId14"/>
                    <a:srcRect l="10811" t="21797" r="11501" b="12376"/>
                    <a:stretch>
                      <a:fillRect/>
                    </a:stretch>
                  </pic:blipFill>
                  <pic:spPr>
                    <a:xfrm>
                      <a:off x="0" y="0"/>
                      <a:ext cx="3357245" cy="203327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360" w:lineRule="auto"/>
        <w:ind w:firstLine="3080" w:firstLineChars="1100"/>
        <w:textAlignment w:val="auto"/>
        <w:rPr>
          <w:rFonts w:hint="default"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图1：收入决算图</w:t>
      </w:r>
    </w:p>
    <w:p>
      <w:pPr>
        <w:keepNext w:val="0"/>
        <w:keepLines w:val="0"/>
        <w:pageBreakBefore w:val="0"/>
        <w:widowControl w:val="0"/>
        <w:numPr>
          <w:ilvl w:val="0"/>
          <w:numId w:val="0"/>
        </w:numPr>
        <w:tabs>
          <w:tab w:val="left" w:pos="608"/>
        </w:tabs>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b/>
          <w:bCs/>
          <w:sz w:val="32"/>
          <w:szCs w:val="32"/>
          <w:lang w:val="en-US" w:eastAsia="zh-CN"/>
        </w:rPr>
      </w:pPr>
    </w:p>
    <w:p>
      <w:pPr>
        <w:pStyle w:val="6"/>
        <w:bidi w:val="0"/>
        <w:rPr>
          <w:rFonts w:hint="default"/>
          <w:lang w:eastAsia="zh-CN"/>
        </w:rPr>
      </w:pPr>
      <w:bookmarkStart w:id="11" w:name="_Toc282"/>
      <w:bookmarkStart w:id="12" w:name="_Toc17407"/>
      <w:r>
        <w:rPr>
          <w:rFonts w:hint="default"/>
          <w:lang w:val="en-US" w:eastAsia="zh-CN"/>
        </w:rPr>
        <w:t>1.2.3</w:t>
      </w:r>
      <w:r>
        <w:rPr>
          <w:rFonts w:hint="default"/>
          <w:lang w:eastAsia="zh-CN"/>
        </w:rPr>
        <w:t>支出决算情况说明</w:t>
      </w:r>
      <w:bookmarkEnd w:id="11"/>
      <w:bookmarkEnd w:id="12"/>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连云港市</w:t>
      </w:r>
      <w:r>
        <w:rPr>
          <w:rFonts w:hint="eastAsia" w:ascii="宋体" w:hAnsi="宋体" w:cs="宋体"/>
          <w:color w:val="auto"/>
          <w:kern w:val="2"/>
          <w:sz w:val="28"/>
          <w:szCs w:val="24"/>
          <w:lang w:val="en-US" w:eastAsia="zh-CN" w:bidi="ar-SA"/>
        </w:rPr>
        <w:t>散装水泥办公室</w:t>
      </w:r>
      <w:r>
        <w:rPr>
          <w:rFonts w:hint="default" w:ascii="宋体" w:hAnsi="宋体" w:eastAsia="宋体" w:cs="宋体"/>
          <w:color w:val="auto"/>
          <w:kern w:val="2"/>
          <w:sz w:val="28"/>
          <w:szCs w:val="24"/>
          <w:lang w:val="en-US" w:eastAsia="zh-CN" w:bidi="ar-SA"/>
        </w:rPr>
        <w:t>本年支出合计</w:t>
      </w:r>
      <w:r>
        <w:rPr>
          <w:rFonts w:hint="eastAsia" w:ascii="宋体" w:hAnsi="宋体" w:cs="宋体"/>
          <w:color w:val="auto"/>
          <w:kern w:val="2"/>
          <w:sz w:val="28"/>
          <w:szCs w:val="24"/>
          <w:lang w:val="en-US" w:eastAsia="zh-CN" w:bidi="ar-SA"/>
        </w:rPr>
        <w:t>113.96</w:t>
      </w:r>
      <w:r>
        <w:rPr>
          <w:rFonts w:hint="default" w:ascii="宋体" w:hAnsi="宋体" w:eastAsia="宋体" w:cs="宋体"/>
          <w:color w:val="auto"/>
          <w:kern w:val="2"/>
          <w:sz w:val="28"/>
          <w:szCs w:val="24"/>
          <w:lang w:val="en-US" w:eastAsia="zh-CN" w:bidi="ar-SA"/>
        </w:rPr>
        <w:t xml:space="preserve">万元，其中：基本支出 </w:t>
      </w:r>
      <w:r>
        <w:rPr>
          <w:rFonts w:hint="eastAsia" w:ascii="宋体" w:hAnsi="宋体" w:cs="宋体"/>
          <w:color w:val="auto"/>
          <w:kern w:val="2"/>
          <w:sz w:val="28"/>
          <w:szCs w:val="24"/>
          <w:lang w:val="en-US" w:eastAsia="zh-CN" w:bidi="ar-SA"/>
        </w:rPr>
        <w:t>53.24</w:t>
      </w:r>
      <w:r>
        <w:rPr>
          <w:rFonts w:hint="default" w:ascii="宋体" w:hAnsi="宋体" w:eastAsia="宋体" w:cs="宋体"/>
          <w:color w:val="auto"/>
          <w:kern w:val="2"/>
          <w:sz w:val="28"/>
          <w:szCs w:val="24"/>
          <w:lang w:val="en-US" w:eastAsia="zh-CN" w:bidi="ar-SA"/>
        </w:rPr>
        <w:t>万元，占</w:t>
      </w:r>
      <w:r>
        <w:rPr>
          <w:rFonts w:hint="eastAsia" w:ascii="宋体" w:hAnsi="宋体" w:cs="宋体"/>
          <w:color w:val="auto"/>
          <w:kern w:val="2"/>
          <w:sz w:val="28"/>
          <w:szCs w:val="24"/>
          <w:lang w:val="en-US" w:eastAsia="zh-CN" w:bidi="ar-SA"/>
        </w:rPr>
        <w:t>46.72</w:t>
      </w:r>
      <w:r>
        <w:rPr>
          <w:rFonts w:hint="default" w:ascii="宋体" w:hAnsi="宋体" w:eastAsia="宋体" w:cs="宋体"/>
          <w:color w:val="auto"/>
          <w:kern w:val="2"/>
          <w:sz w:val="28"/>
          <w:szCs w:val="24"/>
          <w:lang w:val="en-US" w:eastAsia="zh-CN" w:bidi="ar-SA"/>
        </w:rPr>
        <w:t>%，项目支出</w:t>
      </w:r>
      <w:r>
        <w:rPr>
          <w:rFonts w:hint="eastAsia" w:ascii="宋体" w:hAnsi="宋体" w:cs="宋体"/>
          <w:color w:val="auto"/>
          <w:kern w:val="2"/>
          <w:sz w:val="28"/>
          <w:szCs w:val="24"/>
          <w:lang w:val="en-US" w:eastAsia="zh-CN" w:bidi="ar-SA"/>
        </w:rPr>
        <w:t>60.72</w:t>
      </w:r>
      <w:r>
        <w:rPr>
          <w:rFonts w:hint="default" w:ascii="宋体" w:hAnsi="宋体" w:eastAsia="宋体" w:cs="宋体"/>
          <w:color w:val="auto"/>
          <w:kern w:val="2"/>
          <w:sz w:val="28"/>
          <w:szCs w:val="24"/>
          <w:lang w:val="en-US" w:eastAsia="zh-CN" w:bidi="ar-SA"/>
        </w:rPr>
        <w:t>万元；经营支出0万元，占0%；对附属单位补助支出0万元，占0%。</w:t>
      </w:r>
    </w:p>
    <w:p>
      <w:pPr>
        <w:rPr>
          <w:rFonts w:hint="default"/>
          <w:lang w:eastAsia="zh-CN"/>
        </w:rPr>
      </w:pPr>
    </w:p>
    <w:p>
      <w:pPr>
        <w:pStyle w:val="5"/>
        <w:bidi w:val="0"/>
        <w:rPr>
          <w:rFonts w:hint="eastAsia"/>
        </w:rPr>
      </w:pPr>
      <w:bookmarkStart w:id="13" w:name="_Toc21019"/>
      <w:bookmarkStart w:id="14" w:name="_Toc307"/>
      <w:r>
        <w:rPr>
          <w:rFonts w:hint="eastAsia"/>
          <w:lang w:val="en-US" w:eastAsia="zh-CN"/>
        </w:rPr>
        <w:t>1.3、</w:t>
      </w:r>
      <w:r>
        <w:rPr>
          <w:rFonts w:hint="eastAsia"/>
        </w:rPr>
        <w:t>部门项目实施情况</w:t>
      </w:r>
      <w:bookmarkEnd w:id="13"/>
      <w:bookmarkEnd w:id="14"/>
    </w:p>
    <w:p>
      <w:pPr>
        <w:pStyle w:val="6"/>
        <w:bidi w:val="0"/>
        <w:rPr>
          <w:rFonts w:hint="default"/>
          <w:lang w:val="en-US" w:eastAsia="zh-CN"/>
        </w:rPr>
      </w:pPr>
      <w:r>
        <w:rPr>
          <w:rFonts w:hint="eastAsia"/>
          <w:lang w:val="en-US" w:eastAsia="zh-CN"/>
        </w:rPr>
        <w:t>1.3.1 散装水泥业务工作经费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（一）</w:t>
      </w:r>
      <w:r>
        <w:rPr>
          <w:rFonts w:hint="eastAsia" w:ascii="宋体" w:hAnsi="宋体" w:eastAsia="宋体" w:cs="宋体"/>
          <w:color w:val="auto"/>
          <w:kern w:val="2"/>
          <w:sz w:val="28"/>
          <w:szCs w:val="24"/>
          <w:lang w:val="en-US" w:eastAsia="zh-CN" w:bidi="ar-SA"/>
        </w:rPr>
        <w:t>项目概况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全年散装水泥</w:t>
      </w:r>
      <w:r>
        <w:rPr>
          <w:rFonts w:hint="eastAsia" w:ascii="宋体" w:hAnsi="宋体" w:cs="宋体"/>
          <w:color w:val="auto"/>
          <w:kern w:val="2"/>
          <w:sz w:val="28"/>
          <w:szCs w:val="24"/>
          <w:lang w:val="en-US" w:eastAsia="zh-CN" w:bidi="ar-SA"/>
        </w:rPr>
        <w:t>相关业务的</w:t>
      </w:r>
      <w:r>
        <w:rPr>
          <w:rFonts w:hint="eastAsia" w:ascii="宋体" w:hAnsi="宋体" w:eastAsia="宋体" w:cs="宋体"/>
          <w:color w:val="auto"/>
          <w:kern w:val="2"/>
          <w:sz w:val="28"/>
          <w:szCs w:val="24"/>
          <w:lang w:val="en-US" w:eastAsia="zh-CN" w:bidi="ar-SA"/>
        </w:rPr>
        <w:t>推广应用宣传费用，包括按照</w:t>
      </w:r>
      <w:r>
        <w:rPr>
          <w:rFonts w:hint="eastAsia" w:ascii="宋体" w:hAnsi="宋体" w:cs="宋体"/>
          <w:color w:val="auto"/>
          <w:kern w:val="2"/>
          <w:sz w:val="28"/>
          <w:szCs w:val="24"/>
          <w:lang w:val="en-US" w:eastAsia="zh-CN" w:bidi="ar-SA"/>
        </w:rPr>
        <w:t>上级</w:t>
      </w:r>
      <w:r>
        <w:rPr>
          <w:rFonts w:hint="eastAsia" w:ascii="宋体" w:hAnsi="宋体" w:eastAsia="宋体" w:cs="宋体"/>
          <w:color w:val="auto"/>
          <w:kern w:val="2"/>
          <w:sz w:val="28"/>
          <w:szCs w:val="24"/>
          <w:lang w:val="en-US" w:eastAsia="zh-CN" w:bidi="ar-SA"/>
        </w:rPr>
        <w:t>散办要求开展“散装水泥宣传月”活动，</w:t>
      </w:r>
      <w:r>
        <w:rPr>
          <w:rFonts w:hint="eastAsia" w:ascii="宋体" w:hAnsi="宋体" w:cs="宋体"/>
          <w:color w:val="auto"/>
          <w:kern w:val="2"/>
          <w:sz w:val="28"/>
          <w:szCs w:val="24"/>
          <w:lang w:val="en-US" w:eastAsia="zh-CN" w:bidi="ar-SA"/>
        </w:rPr>
        <w:t>市内</w:t>
      </w:r>
      <w:r>
        <w:rPr>
          <w:rFonts w:hint="eastAsia" w:ascii="宋体" w:hAnsi="宋体" w:eastAsia="宋体" w:cs="宋体"/>
          <w:color w:val="auto"/>
          <w:kern w:val="2"/>
          <w:sz w:val="28"/>
          <w:szCs w:val="24"/>
          <w:lang w:val="en-US" w:eastAsia="zh-CN" w:bidi="ar-SA"/>
        </w:rPr>
        <w:t>滚动屏媒体广告</w:t>
      </w:r>
      <w:r>
        <w:rPr>
          <w:rFonts w:hint="eastAsia" w:ascii="宋体" w:hAnsi="宋体" w:cs="宋体"/>
          <w:color w:val="auto"/>
          <w:kern w:val="2"/>
          <w:sz w:val="28"/>
          <w:szCs w:val="24"/>
          <w:lang w:val="en-US" w:eastAsia="zh-CN" w:bidi="ar-SA"/>
        </w:rPr>
        <w:t>宣传活动。以及我</w:t>
      </w:r>
      <w:r>
        <w:rPr>
          <w:rFonts w:hint="eastAsia" w:ascii="宋体" w:hAnsi="宋体" w:eastAsia="宋体" w:cs="宋体"/>
          <w:color w:val="auto"/>
          <w:kern w:val="2"/>
          <w:sz w:val="28"/>
          <w:szCs w:val="24"/>
          <w:lang w:val="en-US" w:eastAsia="zh-CN" w:bidi="ar-SA"/>
        </w:rPr>
        <w:t>单位</w:t>
      </w:r>
      <w:r>
        <w:rPr>
          <w:rFonts w:hint="eastAsia" w:ascii="宋体" w:hAnsi="宋体" w:cs="宋体"/>
          <w:color w:val="auto"/>
          <w:kern w:val="2"/>
          <w:sz w:val="28"/>
          <w:szCs w:val="24"/>
          <w:lang w:val="en-US" w:eastAsia="zh-CN" w:bidi="ar-SA"/>
        </w:rPr>
        <w:t>办公用房</w:t>
      </w:r>
      <w:r>
        <w:rPr>
          <w:rFonts w:hint="eastAsia" w:ascii="宋体" w:hAnsi="宋体" w:eastAsia="宋体" w:cs="宋体"/>
          <w:color w:val="auto"/>
          <w:kern w:val="2"/>
          <w:sz w:val="28"/>
          <w:szCs w:val="24"/>
          <w:lang w:val="en-US" w:eastAsia="zh-CN" w:bidi="ar-SA"/>
        </w:rPr>
        <w:t>物业、</w:t>
      </w:r>
      <w:r>
        <w:rPr>
          <w:rFonts w:hint="eastAsia" w:ascii="宋体" w:hAnsi="宋体" w:cs="宋体"/>
          <w:color w:val="auto"/>
          <w:kern w:val="2"/>
          <w:sz w:val="28"/>
          <w:szCs w:val="24"/>
          <w:lang w:val="en-US" w:eastAsia="zh-CN" w:bidi="ar-SA"/>
        </w:rPr>
        <w:t>日常</w:t>
      </w:r>
      <w:r>
        <w:rPr>
          <w:rFonts w:hint="eastAsia" w:ascii="宋体" w:hAnsi="宋体" w:eastAsia="宋体" w:cs="宋体"/>
          <w:color w:val="auto"/>
          <w:kern w:val="2"/>
          <w:sz w:val="28"/>
          <w:szCs w:val="24"/>
          <w:lang w:val="en-US" w:eastAsia="zh-CN" w:bidi="ar-SA"/>
        </w:rPr>
        <w:t>运行</w:t>
      </w:r>
      <w:r>
        <w:rPr>
          <w:rFonts w:hint="eastAsia" w:ascii="宋体" w:hAnsi="宋体" w:cs="宋体"/>
          <w:color w:val="auto"/>
          <w:kern w:val="2"/>
          <w:sz w:val="28"/>
          <w:szCs w:val="24"/>
          <w:lang w:val="en-US" w:eastAsia="zh-CN" w:bidi="ar-SA"/>
        </w:rPr>
        <w:t>等费用</w:t>
      </w:r>
      <w:r>
        <w:rPr>
          <w:rFonts w:hint="eastAsia" w:ascii="宋体" w:hAnsi="宋体" w:eastAsia="宋体" w:cs="宋体"/>
          <w:color w:val="auto"/>
          <w:kern w:val="2"/>
          <w:sz w:val="28"/>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w:t>
      </w:r>
      <w:r>
        <w:rPr>
          <w:rFonts w:hint="eastAsia" w:ascii="宋体" w:hAnsi="宋体" w:eastAsia="宋体" w:cs="宋体"/>
          <w:color w:val="auto"/>
          <w:kern w:val="2"/>
          <w:sz w:val="28"/>
          <w:szCs w:val="24"/>
          <w:lang w:val="en-US" w:eastAsia="zh-CN" w:bidi="ar-SA"/>
        </w:rPr>
        <w:t>二</w:t>
      </w:r>
      <w:r>
        <w:rPr>
          <w:rFonts w:hint="default" w:ascii="宋体" w:hAnsi="宋体" w:eastAsia="宋体" w:cs="宋体"/>
          <w:color w:val="auto"/>
          <w:kern w:val="2"/>
          <w:sz w:val="28"/>
          <w:szCs w:val="24"/>
          <w:lang w:val="en-US" w:eastAsia="zh-CN" w:bidi="ar-SA"/>
        </w:rPr>
        <w:t>）</w:t>
      </w:r>
      <w:r>
        <w:rPr>
          <w:rFonts w:hint="eastAsia" w:ascii="宋体" w:hAnsi="宋体" w:eastAsia="宋体" w:cs="宋体"/>
          <w:color w:val="auto"/>
          <w:kern w:val="2"/>
          <w:sz w:val="28"/>
          <w:szCs w:val="24"/>
          <w:lang w:val="en-US" w:eastAsia="zh-CN" w:bidi="ar-SA"/>
        </w:rPr>
        <w:t>立项时间及依据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立项时间：</w:t>
      </w:r>
      <w:r>
        <w:rPr>
          <w:rFonts w:hint="default" w:ascii="宋体" w:hAnsi="宋体" w:eastAsia="宋体" w:cs="宋体"/>
          <w:color w:val="auto"/>
          <w:kern w:val="2"/>
          <w:sz w:val="28"/>
          <w:szCs w:val="24"/>
          <w:lang w:val="en-US" w:eastAsia="zh-CN" w:bidi="ar-SA"/>
        </w:rPr>
        <w:t>202</w:t>
      </w:r>
      <w:r>
        <w:rPr>
          <w:rFonts w:hint="eastAsia" w:ascii="宋体" w:hAnsi="宋体" w:eastAsia="宋体" w:cs="宋体"/>
          <w:color w:val="auto"/>
          <w:kern w:val="2"/>
          <w:sz w:val="28"/>
          <w:szCs w:val="24"/>
          <w:lang w:val="en-US" w:eastAsia="zh-CN" w:bidi="ar-SA"/>
        </w:rPr>
        <w:t>1年</w:t>
      </w:r>
      <w:r>
        <w:rPr>
          <w:rFonts w:hint="default" w:ascii="宋体" w:hAnsi="宋体" w:eastAsia="宋体" w:cs="宋体"/>
          <w:color w:val="auto"/>
          <w:kern w:val="2"/>
          <w:sz w:val="28"/>
          <w:szCs w:val="24"/>
          <w:lang w:val="en-US" w:eastAsia="zh-CN" w:bidi="ar-SA"/>
        </w:rPr>
        <w:t>1</w:t>
      </w:r>
      <w:r>
        <w:rPr>
          <w:rFonts w:hint="eastAsia" w:ascii="宋体" w:hAnsi="宋体" w:eastAsia="宋体" w:cs="宋体"/>
          <w:color w:val="auto"/>
          <w:kern w:val="2"/>
          <w:sz w:val="28"/>
          <w:szCs w:val="24"/>
          <w:lang w:val="en-US" w:eastAsia="zh-CN" w:bidi="ar-SA"/>
        </w:rPr>
        <w:t>月</w:t>
      </w:r>
      <w:r>
        <w:rPr>
          <w:rFonts w:hint="default" w:ascii="宋体" w:hAnsi="宋体" w:eastAsia="宋体" w:cs="宋体"/>
          <w:color w:val="auto"/>
          <w:kern w:val="2"/>
          <w:sz w:val="28"/>
          <w:szCs w:val="24"/>
          <w:lang w:val="en-US" w:eastAsia="zh-CN" w:bidi="ar-SA"/>
        </w:rPr>
        <w:t>1</w:t>
      </w:r>
      <w:r>
        <w:rPr>
          <w:rFonts w:hint="eastAsia" w:ascii="宋体" w:hAnsi="宋体" w:eastAsia="宋体" w:cs="宋体"/>
          <w:color w:val="auto"/>
          <w:kern w:val="2"/>
          <w:sz w:val="28"/>
          <w:szCs w:val="24"/>
          <w:lang w:val="en-US" w:eastAsia="zh-CN" w:bidi="ar-SA"/>
        </w:rPr>
        <w:t>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立项依据：</w:t>
      </w:r>
      <w:r>
        <w:rPr>
          <w:rFonts w:hint="eastAsia" w:ascii="宋体" w:hAnsi="宋体" w:cs="宋体"/>
          <w:color w:val="auto"/>
          <w:kern w:val="2"/>
          <w:sz w:val="28"/>
          <w:szCs w:val="24"/>
          <w:lang w:val="en-US" w:eastAsia="zh-CN" w:bidi="ar-SA"/>
        </w:rPr>
        <w:t>《江苏省散装水泥促进条例》</w:t>
      </w:r>
      <w:r>
        <w:rPr>
          <w:rFonts w:hint="eastAsia" w:ascii="宋体" w:hAnsi="宋体" w:eastAsia="宋体" w:cs="宋体"/>
          <w:color w:val="auto"/>
          <w:kern w:val="2"/>
          <w:sz w:val="28"/>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w:t>
      </w:r>
      <w:r>
        <w:rPr>
          <w:rFonts w:hint="eastAsia" w:ascii="宋体" w:hAnsi="宋体" w:eastAsia="宋体" w:cs="宋体"/>
          <w:color w:val="auto"/>
          <w:kern w:val="2"/>
          <w:sz w:val="28"/>
          <w:szCs w:val="24"/>
          <w:lang w:val="en-US" w:eastAsia="zh-CN" w:bidi="ar-SA"/>
        </w:rPr>
        <w:t>三</w:t>
      </w:r>
      <w:r>
        <w:rPr>
          <w:rFonts w:hint="default" w:ascii="宋体" w:hAnsi="宋体" w:eastAsia="宋体" w:cs="宋体"/>
          <w:color w:val="auto"/>
          <w:kern w:val="2"/>
          <w:sz w:val="28"/>
          <w:szCs w:val="24"/>
          <w:lang w:val="en-US" w:eastAsia="zh-CN" w:bidi="ar-SA"/>
        </w:rPr>
        <w:t>）</w:t>
      </w:r>
      <w:r>
        <w:rPr>
          <w:rFonts w:hint="eastAsia" w:ascii="宋体" w:hAnsi="宋体" w:eastAsia="宋体" w:cs="宋体"/>
          <w:color w:val="auto"/>
          <w:kern w:val="2"/>
          <w:sz w:val="28"/>
          <w:szCs w:val="24"/>
          <w:lang w:val="en-US" w:eastAsia="zh-CN" w:bidi="ar-SA"/>
        </w:rPr>
        <w:t>项目设立的必要性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kern w:val="2"/>
          <w:sz w:val="28"/>
          <w:szCs w:val="24"/>
          <w:lang w:val="en-US" w:eastAsia="zh-CN" w:bidi="ar-SA"/>
        </w:rPr>
      </w:pPr>
      <w:r>
        <w:rPr>
          <w:rFonts w:hint="eastAsia" w:ascii="宋体" w:hAnsi="宋体" w:cs="宋体"/>
          <w:color w:val="auto"/>
          <w:kern w:val="2"/>
          <w:sz w:val="28"/>
          <w:szCs w:val="24"/>
          <w:lang w:val="en-US" w:eastAsia="zh-CN" w:bidi="ar-SA"/>
        </w:rPr>
        <w:t>散装水泥相关行业如预拌砂浆属于新型建材，需要对其应用开展全面的推广</w:t>
      </w:r>
      <w:r>
        <w:rPr>
          <w:rFonts w:hint="eastAsia" w:ascii="宋体" w:hAnsi="宋体" w:eastAsia="宋体" w:cs="宋体"/>
          <w:color w:val="auto"/>
          <w:kern w:val="2"/>
          <w:sz w:val="28"/>
          <w:szCs w:val="24"/>
          <w:lang w:val="en-US" w:eastAsia="zh-CN" w:bidi="ar-SA"/>
        </w:rPr>
        <w:t>。</w:t>
      </w:r>
      <w:r>
        <w:rPr>
          <w:rFonts w:hint="eastAsia" w:ascii="宋体" w:hAnsi="宋体" w:cs="宋体"/>
          <w:color w:val="auto"/>
          <w:kern w:val="2"/>
          <w:sz w:val="28"/>
          <w:szCs w:val="24"/>
          <w:lang w:val="en-US" w:eastAsia="zh-CN" w:bidi="ar-SA"/>
        </w:rPr>
        <w:t>市区散装水泥、预拌混凝土、预拌砂浆的使用近几年已基本实现全面覆盖，县区使用情况还需要加强宣传推广力度。</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w:t>
      </w:r>
      <w:r>
        <w:rPr>
          <w:rFonts w:hint="eastAsia" w:ascii="宋体" w:hAnsi="宋体" w:eastAsia="宋体" w:cs="宋体"/>
          <w:color w:val="auto"/>
          <w:kern w:val="2"/>
          <w:sz w:val="28"/>
          <w:szCs w:val="24"/>
          <w:lang w:val="en-US" w:eastAsia="zh-CN" w:bidi="ar-SA"/>
        </w:rPr>
        <w:t>四</w:t>
      </w:r>
      <w:r>
        <w:rPr>
          <w:rFonts w:hint="default" w:ascii="宋体" w:hAnsi="宋体" w:eastAsia="宋体" w:cs="宋体"/>
          <w:color w:val="auto"/>
          <w:kern w:val="2"/>
          <w:sz w:val="28"/>
          <w:szCs w:val="24"/>
          <w:lang w:val="en-US" w:eastAsia="zh-CN" w:bidi="ar-SA"/>
        </w:rPr>
        <w:t>）</w:t>
      </w:r>
      <w:r>
        <w:rPr>
          <w:rFonts w:hint="eastAsia" w:ascii="宋体" w:hAnsi="宋体" w:eastAsia="宋体" w:cs="宋体"/>
          <w:color w:val="auto"/>
          <w:kern w:val="2"/>
          <w:sz w:val="28"/>
          <w:szCs w:val="24"/>
          <w:lang w:val="en-US" w:eastAsia="zh-CN" w:bidi="ar-SA"/>
        </w:rPr>
        <w:t>项目实施可行性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我单位</w:t>
      </w:r>
      <w:r>
        <w:rPr>
          <w:rFonts w:hint="eastAsia" w:ascii="宋体" w:hAnsi="宋体" w:cs="宋体"/>
          <w:color w:val="auto"/>
          <w:kern w:val="2"/>
          <w:sz w:val="28"/>
          <w:szCs w:val="24"/>
          <w:lang w:val="en-US" w:eastAsia="zh-CN" w:bidi="ar-SA"/>
        </w:rPr>
        <w:t>对散装水泥相关</w:t>
      </w:r>
      <w:r>
        <w:rPr>
          <w:rFonts w:hint="eastAsia" w:ascii="宋体" w:hAnsi="宋体" w:eastAsia="宋体" w:cs="宋体"/>
          <w:b w:val="0"/>
          <w:bCs/>
          <w:kern w:val="0"/>
          <w:sz w:val="28"/>
          <w:szCs w:val="28"/>
        </w:rPr>
        <w:t>新技术、新工艺、新设备</w:t>
      </w:r>
      <w:r>
        <w:rPr>
          <w:rFonts w:hint="eastAsia" w:ascii="宋体" w:hAnsi="宋体" w:cs="宋体"/>
          <w:b w:val="0"/>
          <w:bCs/>
          <w:kern w:val="0"/>
          <w:sz w:val="28"/>
          <w:szCs w:val="28"/>
          <w:lang w:val="en-US" w:eastAsia="zh-CN"/>
        </w:rPr>
        <w:t>进行推广宣传，</w:t>
      </w:r>
      <w:r>
        <w:rPr>
          <w:rFonts w:hint="eastAsia" w:ascii="宋体" w:hAnsi="宋体" w:eastAsia="宋体" w:cs="宋体"/>
          <w:b w:val="0"/>
          <w:bCs/>
          <w:kern w:val="0"/>
          <w:sz w:val="28"/>
          <w:szCs w:val="28"/>
        </w:rPr>
        <w:t>协调解决发展散装水泥工作出现的问题；负责本地区预拌混凝土、预拌砂浆推广应用、生产企业产品质量和建设施工现场的监督检查、运输协调服务</w:t>
      </w:r>
      <w:r>
        <w:rPr>
          <w:rFonts w:hint="eastAsia" w:ascii="宋体" w:hAnsi="宋体" w:eastAsia="宋体" w:cs="宋体"/>
          <w:color w:val="auto"/>
          <w:kern w:val="2"/>
          <w:sz w:val="28"/>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（五）资金用途及分配方法</w:t>
      </w:r>
      <w:r>
        <w:rPr>
          <w:rFonts w:hint="eastAsia" w:ascii="宋体" w:hAnsi="宋体" w:eastAsia="宋体" w:cs="宋体"/>
          <w:color w:val="auto"/>
          <w:kern w:val="2"/>
          <w:sz w:val="28"/>
          <w:szCs w:val="24"/>
          <w:lang w:val="en-US" w:eastAsia="zh-CN" w:bidi="ar-SA"/>
        </w:rPr>
        <w:tab/>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eastAsia" w:ascii="宋体" w:hAnsi="宋体" w:cs="宋体"/>
          <w:color w:val="auto"/>
          <w:kern w:val="2"/>
          <w:sz w:val="28"/>
          <w:szCs w:val="24"/>
          <w:lang w:val="en-US" w:eastAsia="zh-CN" w:bidi="ar-SA"/>
        </w:rPr>
        <w:t>全年广告宣传活动经费1</w:t>
      </w:r>
      <w:r>
        <w:rPr>
          <w:rFonts w:hint="eastAsia" w:ascii="宋体" w:hAnsi="宋体" w:eastAsia="宋体" w:cs="宋体"/>
          <w:color w:val="auto"/>
          <w:kern w:val="2"/>
          <w:sz w:val="28"/>
          <w:szCs w:val="24"/>
          <w:lang w:val="en-US" w:eastAsia="zh-CN" w:bidi="ar-SA"/>
        </w:rPr>
        <w:t>7万元；单位物业、运行等费用</w:t>
      </w:r>
      <w:r>
        <w:rPr>
          <w:rFonts w:hint="eastAsia" w:ascii="宋体" w:hAnsi="宋体" w:cs="宋体"/>
          <w:color w:val="auto"/>
          <w:kern w:val="2"/>
          <w:sz w:val="28"/>
          <w:szCs w:val="24"/>
          <w:lang w:val="en-US" w:eastAsia="zh-CN" w:bidi="ar-SA"/>
        </w:rPr>
        <w:t>27</w:t>
      </w:r>
      <w:r>
        <w:rPr>
          <w:rFonts w:hint="eastAsia" w:ascii="宋体" w:hAnsi="宋体" w:eastAsia="宋体" w:cs="宋体"/>
          <w:color w:val="auto"/>
          <w:kern w:val="2"/>
          <w:sz w:val="28"/>
          <w:szCs w:val="24"/>
          <w:lang w:val="en-US" w:eastAsia="zh-CN" w:bidi="ar-SA"/>
        </w:rPr>
        <w:t>.3万元。</w:t>
      </w:r>
      <w:r>
        <w:rPr>
          <w:rFonts w:hint="eastAsia" w:ascii="宋体" w:hAnsi="宋体" w:eastAsia="宋体" w:cs="宋体"/>
          <w:color w:val="auto"/>
          <w:kern w:val="2"/>
          <w:sz w:val="28"/>
          <w:szCs w:val="24"/>
          <w:lang w:val="en-US" w:eastAsia="zh-CN" w:bidi="ar-SA"/>
        </w:rPr>
        <w:tab/>
      </w:r>
      <w:r>
        <w:rPr>
          <w:rFonts w:hint="eastAsia" w:ascii="宋体" w:hAnsi="宋体" w:eastAsia="宋体" w:cs="宋体"/>
          <w:color w:val="auto"/>
          <w:kern w:val="2"/>
          <w:sz w:val="28"/>
          <w:szCs w:val="24"/>
          <w:lang w:val="en-US" w:eastAsia="zh-CN" w:bidi="ar-SA"/>
        </w:rPr>
        <w:tab/>
      </w:r>
      <w:r>
        <w:rPr>
          <w:rFonts w:hint="eastAsia" w:ascii="宋体" w:hAnsi="宋体" w:eastAsia="宋体" w:cs="宋体"/>
          <w:color w:val="auto"/>
          <w:kern w:val="2"/>
          <w:sz w:val="28"/>
          <w:szCs w:val="24"/>
          <w:lang w:val="en-US" w:eastAsia="zh-CN" w:bidi="ar-SA"/>
        </w:rPr>
        <w:tab/>
      </w:r>
      <w:r>
        <w:rPr>
          <w:rFonts w:hint="eastAsia" w:ascii="宋体" w:hAnsi="宋体" w:eastAsia="宋体" w:cs="宋体"/>
          <w:color w:val="auto"/>
          <w:kern w:val="2"/>
          <w:sz w:val="28"/>
          <w:szCs w:val="24"/>
          <w:lang w:val="en-US" w:eastAsia="zh-CN" w:bidi="ar-SA"/>
        </w:rPr>
        <w:tab/>
      </w:r>
      <w:r>
        <w:rPr>
          <w:rFonts w:hint="eastAsia" w:ascii="宋体" w:hAnsi="宋体" w:eastAsia="宋体" w:cs="宋体"/>
          <w:color w:val="auto"/>
          <w:kern w:val="2"/>
          <w:sz w:val="28"/>
          <w:szCs w:val="24"/>
          <w:lang w:val="en-US" w:eastAsia="zh-CN" w:bidi="ar-SA"/>
        </w:rPr>
        <w:tab/>
      </w:r>
      <w:r>
        <w:rPr>
          <w:rFonts w:hint="eastAsia" w:ascii="宋体" w:hAnsi="宋体" w:eastAsia="宋体" w:cs="宋体"/>
          <w:color w:val="auto"/>
          <w:kern w:val="2"/>
          <w:sz w:val="28"/>
          <w:szCs w:val="24"/>
          <w:lang w:val="en-US" w:eastAsia="zh-CN" w:bidi="ar-SA"/>
        </w:rPr>
        <w:tab/>
      </w:r>
      <w:r>
        <w:rPr>
          <w:rFonts w:hint="eastAsia" w:ascii="宋体" w:hAnsi="宋体" w:eastAsia="宋体" w:cs="宋体"/>
          <w:color w:val="auto"/>
          <w:kern w:val="2"/>
          <w:sz w:val="28"/>
          <w:szCs w:val="24"/>
          <w:lang w:val="en-US" w:eastAsia="zh-CN" w:bidi="ar-SA"/>
        </w:rPr>
        <w:tab/>
      </w:r>
      <w:r>
        <w:rPr>
          <w:rFonts w:hint="eastAsia" w:ascii="宋体" w:hAnsi="宋体" w:eastAsia="宋体" w:cs="宋体"/>
          <w:color w:val="auto"/>
          <w:kern w:val="2"/>
          <w:sz w:val="28"/>
          <w:szCs w:val="24"/>
          <w:lang w:val="en-US" w:eastAsia="zh-CN" w:bidi="ar-SA"/>
        </w:rPr>
        <w:tab/>
      </w:r>
      <w:r>
        <w:rPr>
          <w:rFonts w:hint="eastAsia" w:ascii="宋体" w:hAnsi="宋体" w:eastAsia="宋体" w:cs="宋体"/>
          <w:color w:val="auto"/>
          <w:kern w:val="2"/>
          <w:sz w:val="28"/>
          <w:szCs w:val="24"/>
          <w:lang w:val="en-US" w:eastAsia="zh-CN" w:bidi="ar-SA"/>
        </w:rPr>
        <w:tab/>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w:t>
      </w:r>
      <w:r>
        <w:rPr>
          <w:rFonts w:hint="eastAsia" w:ascii="宋体" w:hAnsi="宋体" w:eastAsia="宋体" w:cs="宋体"/>
          <w:color w:val="auto"/>
          <w:kern w:val="2"/>
          <w:sz w:val="28"/>
          <w:szCs w:val="24"/>
          <w:lang w:val="en-US" w:eastAsia="zh-CN" w:bidi="ar-SA"/>
        </w:rPr>
        <w:t>六</w:t>
      </w:r>
      <w:r>
        <w:rPr>
          <w:rFonts w:hint="default" w:ascii="宋体" w:hAnsi="宋体" w:eastAsia="宋体" w:cs="宋体"/>
          <w:color w:val="auto"/>
          <w:kern w:val="2"/>
          <w:sz w:val="28"/>
          <w:szCs w:val="24"/>
          <w:lang w:val="en-US" w:eastAsia="zh-CN" w:bidi="ar-SA"/>
        </w:rPr>
        <w:t>）</w:t>
      </w:r>
      <w:r>
        <w:rPr>
          <w:rFonts w:hint="eastAsia" w:ascii="宋体" w:hAnsi="宋体" w:eastAsia="宋体" w:cs="宋体"/>
          <w:color w:val="auto"/>
          <w:kern w:val="2"/>
          <w:sz w:val="28"/>
          <w:szCs w:val="24"/>
          <w:lang w:val="en-US" w:eastAsia="zh-CN" w:bidi="ar-SA"/>
        </w:rPr>
        <w:t>项目完成情况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市</w:t>
      </w:r>
      <w:r>
        <w:rPr>
          <w:rFonts w:hint="eastAsia" w:ascii="宋体" w:hAnsi="宋体" w:cs="宋体"/>
          <w:color w:val="auto"/>
          <w:kern w:val="2"/>
          <w:sz w:val="28"/>
          <w:szCs w:val="24"/>
          <w:lang w:val="en-US" w:eastAsia="zh-CN" w:bidi="ar-SA"/>
        </w:rPr>
        <w:t>散装水泥办公室</w:t>
      </w:r>
      <w:r>
        <w:rPr>
          <w:rFonts w:hint="eastAsia" w:ascii="宋体" w:hAnsi="宋体" w:eastAsia="宋体" w:cs="宋体"/>
          <w:color w:val="auto"/>
          <w:kern w:val="2"/>
          <w:sz w:val="28"/>
          <w:szCs w:val="24"/>
          <w:lang w:val="en-US" w:eastAsia="zh-CN" w:bidi="ar-SA"/>
        </w:rPr>
        <w:t>本年度的项目全部按时按量完成。</w:t>
      </w:r>
    </w:p>
    <w:p>
      <w:pPr>
        <w:pStyle w:val="6"/>
        <w:bidi w:val="0"/>
        <w:rPr>
          <w:rFonts w:hint="default"/>
          <w:lang w:val="en-US" w:eastAsia="zh-CN"/>
        </w:rPr>
      </w:pPr>
      <w:r>
        <w:rPr>
          <w:rFonts w:hint="eastAsia"/>
          <w:lang w:val="en-US" w:eastAsia="zh-CN"/>
        </w:rPr>
        <w:t>1.3.2购买服务人员经费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eastAsia" w:ascii="宋体" w:hAnsi="宋体" w:cs="宋体"/>
          <w:color w:val="auto"/>
          <w:kern w:val="2"/>
          <w:sz w:val="28"/>
          <w:szCs w:val="24"/>
          <w:lang w:val="en-US" w:eastAsia="zh-CN" w:bidi="ar-SA"/>
        </w:rPr>
        <w:t>（一）</w:t>
      </w:r>
      <w:r>
        <w:rPr>
          <w:rFonts w:hint="eastAsia" w:ascii="宋体" w:hAnsi="宋体" w:eastAsia="宋体" w:cs="宋体"/>
          <w:color w:val="auto"/>
          <w:kern w:val="2"/>
          <w:sz w:val="28"/>
          <w:szCs w:val="24"/>
          <w:lang w:val="en-US" w:eastAsia="zh-CN" w:bidi="ar-SA"/>
        </w:rPr>
        <w:t>项目概况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eastAsia" w:ascii="宋体" w:hAnsi="宋体" w:cs="宋体"/>
          <w:color w:val="auto"/>
          <w:kern w:val="2"/>
          <w:sz w:val="28"/>
          <w:szCs w:val="24"/>
          <w:lang w:val="en-US" w:eastAsia="zh-CN" w:bidi="ar-SA"/>
        </w:rPr>
        <w:t>散装水泥办公室聘用人员2人，主要用于发放聘用人员全年工资</w:t>
      </w:r>
      <w:r>
        <w:rPr>
          <w:rFonts w:hint="eastAsia" w:ascii="宋体" w:hAnsi="宋体" w:eastAsia="宋体" w:cs="宋体"/>
          <w:color w:val="auto"/>
          <w:kern w:val="2"/>
          <w:sz w:val="28"/>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ab/>
      </w:r>
      <w:r>
        <w:rPr>
          <w:rFonts w:hint="default" w:ascii="宋体" w:hAnsi="宋体" w:eastAsia="宋体" w:cs="宋体"/>
          <w:color w:val="auto"/>
          <w:kern w:val="2"/>
          <w:sz w:val="28"/>
          <w:szCs w:val="24"/>
          <w:lang w:val="en-US" w:eastAsia="zh-CN" w:bidi="ar-SA"/>
        </w:rPr>
        <w:t>（</w:t>
      </w:r>
      <w:r>
        <w:rPr>
          <w:rFonts w:hint="eastAsia" w:ascii="宋体" w:hAnsi="宋体" w:eastAsia="宋体" w:cs="宋体"/>
          <w:color w:val="auto"/>
          <w:kern w:val="2"/>
          <w:sz w:val="28"/>
          <w:szCs w:val="24"/>
          <w:lang w:val="en-US" w:eastAsia="zh-CN" w:bidi="ar-SA"/>
        </w:rPr>
        <w:t>二</w:t>
      </w:r>
      <w:r>
        <w:rPr>
          <w:rFonts w:hint="default" w:ascii="宋体" w:hAnsi="宋体" w:eastAsia="宋体" w:cs="宋体"/>
          <w:color w:val="auto"/>
          <w:kern w:val="2"/>
          <w:sz w:val="28"/>
          <w:szCs w:val="24"/>
          <w:lang w:val="en-US" w:eastAsia="zh-CN" w:bidi="ar-SA"/>
        </w:rPr>
        <w:t>）</w:t>
      </w:r>
      <w:r>
        <w:rPr>
          <w:rFonts w:hint="eastAsia" w:ascii="宋体" w:hAnsi="宋体" w:eastAsia="宋体" w:cs="宋体"/>
          <w:color w:val="auto"/>
          <w:kern w:val="2"/>
          <w:sz w:val="28"/>
          <w:szCs w:val="24"/>
          <w:lang w:val="en-US" w:eastAsia="zh-CN" w:bidi="ar-SA"/>
        </w:rPr>
        <w:t>立项时间及依据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立项时间：</w:t>
      </w:r>
      <w:r>
        <w:rPr>
          <w:rFonts w:hint="default" w:ascii="宋体" w:hAnsi="宋体" w:eastAsia="宋体" w:cs="宋体"/>
          <w:color w:val="auto"/>
          <w:kern w:val="2"/>
          <w:sz w:val="28"/>
          <w:szCs w:val="24"/>
          <w:lang w:val="en-US" w:eastAsia="zh-CN" w:bidi="ar-SA"/>
        </w:rPr>
        <w:t>202</w:t>
      </w:r>
      <w:r>
        <w:rPr>
          <w:rFonts w:hint="eastAsia" w:ascii="宋体" w:hAnsi="宋体" w:eastAsia="宋体" w:cs="宋体"/>
          <w:color w:val="auto"/>
          <w:kern w:val="2"/>
          <w:sz w:val="28"/>
          <w:szCs w:val="24"/>
          <w:lang w:val="en-US" w:eastAsia="zh-CN" w:bidi="ar-SA"/>
        </w:rPr>
        <w:t>1年</w:t>
      </w:r>
      <w:r>
        <w:rPr>
          <w:rFonts w:hint="default" w:ascii="宋体" w:hAnsi="宋体" w:eastAsia="宋体" w:cs="宋体"/>
          <w:color w:val="auto"/>
          <w:kern w:val="2"/>
          <w:sz w:val="28"/>
          <w:szCs w:val="24"/>
          <w:lang w:val="en-US" w:eastAsia="zh-CN" w:bidi="ar-SA"/>
        </w:rPr>
        <w:t>1</w:t>
      </w:r>
      <w:r>
        <w:rPr>
          <w:rFonts w:hint="eastAsia" w:ascii="宋体" w:hAnsi="宋体" w:eastAsia="宋体" w:cs="宋体"/>
          <w:color w:val="auto"/>
          <w:kern w:val="2"/>
          <w:sz w:val="28"/>
          <w:szCs w:val="24"/>
          <w:lang w:val="en-US" w:eastAsia="zh-CN" w:bidi="ar-SA"/>
        </w:rPr>
        <w:t>月</w:t>
      </w:r>
      <w:r>
        <w:rPr>
          <w:rFonts w:hint="default" w:ascii="宋体" w:hAnsi="宋体" w:eastAsia="宋体" w:cs="宋体"/>
          <w:color w:val="auto"/>
          <w:kern w:val="2"/>
          <w:sz w:val="28"/>
          <w:szCs w:val="24"/>
          <w:lang w:val="en-US" w:eastAsia="zh-CN" w:bidi="ar-SA"/>
        </w:rPr>
        <w:t>1</w:t>
      </w:r>
      <w:r>
        <w:rPr>
          <w:rFonts w:hint="eastAsia" w:ascii="宋体" w:hAnsi="宋体" w:eastAsia="宋体" w:cs="宋体"/>
          <w:color w:val="auto"/>
          <w:kern w:val="2"/>
          <w:sz w:val="28"/>
          <w:szCs w:val="24"/>
          <w:lang w:val="en-US" w:eastAsia="zh-CN" w:bidi="ar-SA"/>
        </w:rPr>
        <w:t>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立项依据</w:t>
      </w:r>
      <w:r>
        <w:rPr>
          <w:rFonts w:hint="eastAsia" w:ascii="宋体" w:hAnsi="宋体" w:cs="宋体"/>
          <w:color w:val="auto"/>
          <w:kern w:val="2"/>
          <w:sz w:val="28"/>
          <w:szCs w:val="24"/>
          <w:lang w:val="en-US" w:eastAsia="zh-CN" w:bidi="ar-SA"/>
        </w:rPr>
        <w:t>：《江苏省散装水泥促进条例》</w:t>
      </w:r>
      <w:r>
        <w:rPr>
          <w:rFonts w:hint="eastAsia" w:ascii="宋体" w:hAnsi="宋体" w:eastAsia="宋体" w:cs="宋体"/>
          <w:color w:val="auto"/>
          <w:kern w:val="2"/>
          <w:sz w:val="28"/>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w:t>
      </w:r>
      <w:r>
        <w:rPr>
          <w:rFonts w:hint="eastAsia" w:ascii="宋体" w:hAnsi="宋体" w:eastAsia="宋体" w:cs="宋体"/>
          <w:color w:val="auto"/>
          <w:kern w:val="2"/>
          <w:sz w:val="28"/>
          <w:szCs w:val="24"/>
          <w:lang w:val="en-US" w:eastAsia="zh-CN" w:bidi="ar-SA"/>
        </w:rPr>
        <w:t>三</w:t>
      </w:r>
      <w:r>
        <w:rPr>
          <w:rFonts w:hint="default" w:ascii="宋体" w:hAnsi="宋体" w:eastAsia="宋体" w:cs="宋体"/>
          <w:color w:val="auto"/>
          <w:kern w:val="2"/>
          <w:sz w:val="28"/>
          <w:szCs w:val="24"/>
          <w:lang w:val="en-US" w:eastAsia="zh-CN" w:bidi="ar-SA"/>
        </w:rPr>
        <w:t>）</w:t>
      </w:r>
      <w:r>
        <w:rPr>
          <w:rFonts w:hint="eastAsia" w:ascii="宋体" w:hAnsi="宋体" w:eastAsia="宋体" w:cs="宋体"/>
          <w:color w:val="auto"/>
          <w:kern w:val="2"/>
          <w:sz w:val="28"/>
          <w:szCs w:val="24"/>
          <w:lang w:val="en-US" w:eastAsia="zh-CN" w:bidi="ar-SA"/>
        </w:rPr>
        <w:t>项目设立的必要性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eastAsia" w:ascii="宋体" w:hAnsi="宋体" w:cs="宋体"/>
          <w:color w:val="auto"/>
          <w:kern w:val="2"/>
          <w:sz w:val="28"/>
          <w:szCs w:val="24"/>
          <w:lang w:val="en-US" w:eastAsia="zh-CN" w:bidi="ar-SA"/>
        </w:rPr>
        <w:t>现场执法需2人及以上，我单位在职在编人员较少，现场检查、验收，办公室人手不足</w:t>
      </w:r>
      <w:r>
        <w:rPr>
          <w:rFonts w:hint="eastAsia" w:ascii="宋体" w:hAnsi="宋体" w:eastAsia="宋体" w:cs="宋体"/>
          <w:color w:val="auto"/>
          <w:kern w:val="2"/>
          <w:sz w:val="28"/>
          <w:szCs w:val="24"/>
          <w:lang w:val="en-US" w:eastAsia="zh-CN" w:bidi="ar-SA"/>
        </w:rPr>
        <w:t>。</w:t>
      </w:r>
      <w:r>
        <w:rPr>
          <w:rFonts w:hint="eastAsia" w:ascii="宋体" w:hAnsi="宋体" w:eastAsia="宋体" w:cs="宋体"/>
          <w:color w:val="auto"/>
          <w:kern w:val="2"/>
          <w:sz w:val="28"/>
          <w:szCs w:val="24"/>
          <w:lang w:val="en-US" w:eastAsia="zh-CN" w:bidi="ar-SA"/>
        </w:rPr>
        <w:tab/>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w:t>
      </w:r>
      <w:r>
        <w:rPr>
          <w:rFonts w:hint="eastAsia" w:ascii="宋体" w:hAnsi="宋体" w:eastAsia="宋体" w:cs="宋体"/>
          <w:color w:val="auto"/>
          <w:kern w:val="2"/>
          <w:sz w:val="28"/>
          <w:szCs w:val="24"/>
          <w:lang w:val="en-US" w:eastAsia="zh-CN" w:bidi="ar-SA"/>
        </w:rPr>
        <w:t>四</w:t>
      </w:r>
      <w:r>
        <w:rPr>
          <w:rFonts w:hint="default" w:ascii="宋体" w:hAnsi="宋体" w:eastAsia="宋体" w:cs="宋体"/>
          <w:color w:val="auto"/>
          <w:kern w:val="2"/>
          <w:sz w:val="28"/>
          <w:szCs w:val="24"/>
          <w:lang w:val="en-US" w:eastAsia="zh-CN" w:bidi="ar-SA"/>
        </w:rPr>
        <w:t>）</w:t>
      </w:r>
      <w:r>
        <w:rPr>
          <w:rFonts w:hint="eastAsia" w:ascii="宋体" w:hAnsi="宋体" w:eastAsia="宋体" w:cs="宋体"/>
          <w:color w:val="auto"/>
          <w:kern w:val="2"/>
          <w:sz w:val="28"/>
          <w:szCs w:val="24"/>
          <w:lang w:val="en-US" w:eastAsia="zh-CN" w:bidi="ar-SA"/>
        </w:rPr>
        <w:t>项目实施可行性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eastAsia" w:ascii="宋体" w:hAnsi="宋体" w:cs="宋体"/>
          <w:color w:val="auto"/>
          <w:kern w:val="2"/>
          <w:sz w:val="28"/>
          <w:szCs w:val="24"/>
          <w:lang w:val="en-US" w:eastAsia="zh-CN" w:bidi="ar-SA"/>
        </w:rPr>
        <w:t>散装水泥行业存在很多现场搅拌问题，极大污染环境，需经常进行现场巡察</w:t>
      </w:r>
      <w:r>
        <w:rPr>
          <w:rFonts w:hint="eastAsia" w:ascii="宋体" w:hAnsi="宋体" w:eastAsia="宋体" w:cs="宋体"/>
          <w:color w:val="auto"/>
          <w:kern w:val="2"/>
          <w:sz w:val="28"/>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（五）资金用途及分配方法</w:t>
      </w:r>
      <w:r>
        <w:rPr>
          <w:rFonts w:hint="eastAsia" w:ascii="宋体" w:hAnsi="宋体" w:eastAsia="宋体" w:cs="宋体"/>
          <w:color w:val="auto"/>
          <w:kern w:val="2"/>
          <w:sz w:val="28"/>
          <w:szCs w:val="24"/>
          <w:lang w:val="en-US" w:eastAsia="zh-CN" w:bidi="ar-SA"/>
        </w:rPr>
        <w:tab/>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kern w:val="2"/>
          <w:sz w:val="28"/>
          <w:szCs w:val="24"/>
          <w:lang w:val="en-US" w:eastAsia="zh-CN" w:bidi="ar-SA"/>
        </w:rPr>
      </w:pPr>
      <w:r>
        <w:rPr>
          <w:rFonts w:hint="eastAsia" w:ascii="宋体" w:hAnsi="宋体" w:cs="宋体"/>
          <w:color w:val="auto"/>
          <w:kern w:val="2"/>
          <w:sz w:val="28"/>
          <w:szCs w:val="24"/>
          <w:lang w:val="en-US" w:eastAsia="zh-CN" w:bidi="ar-SA"/>
        </w:rPr>
        <w:t>聘用人员全年工资16万元</w:t>
      </w:r>
      <w:r>
        <w:rPr>
          <w:rFonts w:hint="eastAsia" w:ascii="宋体" w:hAnsi="宋体" w:eastAsia="宋体" w:cs="宋体"/>
          <w:color w:val="auto"/>
          <w:kern w:val="2"/>
          <w:sz w:val="28"/>
          <w:szCs w:val="24"/>
          <w:lang w:val="en-US" w:eastAsia="zh-CN" w:bidi="ar-SA"/>
        </w:rPr>
        <w:t>。</w:t>
      </w:r>
      <w:r>
        <w:rPr>
          <w:rFonts w:hint="eastAsia" w:ascii="宋体" w:hAnsi="宋体" w:eastAsia="宋体" w:cs="宋体"/>
          <w:color w:val="auto"/>
          <w:kern w:val="2"/>
          <w:sz w:val="28"/>
          <w:szCs w:val="24"/>
          <w:lang w:val="en-US" w:eastAsia="zh-CN" w:bidi="ar-SA"/>
        </w:rPr>
        <w:tab/>
      </w:r>
      <w:r>
        <w:rPr>
          <w:rFonts w:hint="eastAsia" w:ascii="宋体" w:hAnsi="宋体" w:eastAsia="宋体" w:cs="宋体"/>
          <w:color w:val="auto"/>
          <w:kern w:val="2"/>
          <w:sz w:val="28"/>
          <w:szCs w:val="24"/>
          <w:lang w:val="en-US" w:eastAsia="zh-CN" w:bidi="ar-SA"/>
        </w:rPr>
        <w:tab/>
      </w:r>
      <w:r>
        <w:rPr>
          <w:rFonts w:hint="eastAsia" w:ascii="宋体" w:hAnsi="宋体" w:eastAsia="宋体" w:cs="宋体"/>
          <w:color w:val="auto"/>
          <w:kern w:val="2"/>
          <w:sz w:val="28"/>
          <w:szCs w:val="24"/>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w:t>
      </w:r>
      <w:r>
        <w:rPr>
          <w:rFonts w:hint="eastAsia" w:ascii="宋体" w:hAnsi="宋体" w:eastAsia="宋体" w:cs="宋体"/>
          <w:color w:val="auto"/>
          <w:kern w:val="2"/>
          <w:sz w:val="28"/>
          <w:szCs w:val="24"/>
          <w:lang w:val="en-US" w:eastAsia="zh-CN" w:bidi="ar-SA"/>
        </w:rPr>
        <w:t>六</w:t>
      </w:r>
      <w:r>
        <w:rPr>
          <w:rFonts w:hint="default" w:ascii="宋体" w:hAnsi="宋体" w:eastAsia="宋体" w:cs="宋体"/>
          <w:color w:val="auto"/>
          <w:kern w:val="2"/>
          <w:sz w:val="28"/>
          <w:szCs w:val="24"/>
          <w:lang w:val="en-US" w:eastAsia="zh-CN" w:bidi="ar-SA"/>
        </w:rPr>
        <w:t>）</w:t>
      </w:r>
      <w:r>
        <w:rPr>
          <w:rFonts w:hint="eastAsia" w:ascii="宋体" w:hAnsi="宋体" w:eastAsia="宋体" w:cs="宋体"/>
          <w:color w:val="auto"/>
          <w:kern w:val="2"/>
          <w:sz w:val="28"/>
          <w:szCs w:val="24"/>
          <w:lang w:val="en-US" w:eastAsia="zh-CN" w:bidi="ar-SA"/>
        </w:rPr>
        <w:t>项目完成情况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 xml:space="preserve">  市</w:t>
      </w:r>
      <w:r>
        <w:rPr>
          <w:rFonts w:hint="eastAsia" w:ascii="宋体" w:hAnsi="宋体" w:cs="宋体"/>
          <w:color w:val="auto"/>
          <w:kern w:val="2"/>
          <w:sz w:val="28"/>
          <w:szCs w:val="24"/>
          <w:lang w:val="en-US" w:eastAsia="zh-CN" w:bidi="ar-SA"/>
        </w:rPr>
        <w:t>散装水泥办公室完成全年施工工地日常巡察工作</w:t>
      </w:r>
      <w:r>
        <w:rPr>
          <w:rFonts w:hint="eastAsia" w:ascii="宋体" w:hAnsi="宋体" w:eastAsia="宋体" w:cs="宋体"/>
          <w:color w:val="auto"/>
          <w:kern w:val="2"/>
          <w:sz w:val="28"/>
          <w:szCs w:val="24"/>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000000"/>
          <w:sz w:val="32"/>
          <w:szCs w:val="32"/>
          <w:highlight w:val="none"/>
          <w:lang w:val="en-US" w:eastAsia="zh-CN"/>
        </w:rPr>
      </w:pPr>
    </w:p>
    <w:p>
      <w:pPr>
        <w:pStyle w:val="4"/>
        <w:bidi w:val="0"/>
      </w:pPr>
      <w:bookmarkStart w:id="15" w:name="_Toc12331"/>
      <w:r>
        <w:rPr>
          <w:rFonts w:hint="eastAsia"/>
        </w:rPr>
        <w:t>2、绩效评价概述</w:t>
      </w:r>
      <w:bookmarkEnd w:id="15"/>
    </w:p>
    <w:p>
      <w:pPr>
        <w:pStyle w:val="5"/>
        <w:bidi w:val="0"/>
      </w:pPr>
      <w:bookmarkStart w:id="16" w:name="_Toc28798"/>
      <w:bookmarkStart w:id="17" w:name="_Toc4271"/>
      <w:r>
        <w:rPr>
          <w:rFonts w:hint="eastAsia"/>
        </w:rPr>
        <w:t>2.1、绩效评价目的</w:t>
      </w:r>
      <w:bookmarkEnd w:id="16"/>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通过对市财政 2021年度安排我单位对</w:t>
      </w:r>
      <w:r>
        <w:rPr>
          <w:rFonts w:hint="eastAsia" w:ascii="宋体" w:hAnsi="宋体" w:cs="宋体"/>
          <w:color w:val="auto"/>
          <w:kern w:val="2"/>
          <w:sz w:val="28"/>
          <w:szCs w:val="24"/>
          <w:lang w:val="en-US" w:eastAsia="zh-CN" w:bidi="ar-SA"/>
        </w:rPr>
        <w:t>散装水泥相关业务</w:t>
      </w:r>
      <w:r>
        <w:rPr>
          <w:rFonts w:hint="eastAsia" w:ascii="宋体" w:hAnsi="宋体" w:eastAsia="宋体" w:cs="宋体"/>
          <w:color w:val="auto"/>
          <w:kern w:val="2"/>
          <w:sz w:val="28"/>
          <w:szCs w:val="24"/>
          <w:lang w:val="en-US" w:eastAsia="zh-CN" w:bidi="ar-SA"/>
        </w:rPr>
        <w:t>情况进行调查</w:t>
      </w:r>
      <w:r>
        <w:rPr>
          <w:rFonts w:hint="eastAsia" w:ascii="宋体" w:hAnsi="宋体" w:cs="宋体"/>
          <w:color w:val="auto"/>
          <w:kern w:val="2"/>
          <w:sz w:val="28"/>
          <w:szCs w:val="24"/>
          <w:lang w:val="en-US" w:eastAsia="zh-CN" w:bidi="ar-SA"/>
        </w:rPr>
        <w:t>、了解</w:t>
      </w:r>
      <w:r>
        <w:rPr>
          <w:rFonts w:hint="eastAsia" w:ascii="宋体" w:hAnsi="宋体" w:eastAsia="宋体" w:cs="宋体"/>
          <w:color w:val="auto"/>
          <w:kern w:val="2"/>
          <w:sz w:val="28"/>
          <w:szCs w:val="24"/>
          <w:lang w:val="en-US" w:eastAsia="zh-CN" w:bidi="ar-SA"/>
        </w:rPr>
        <w:t>。</w:t>
      </w:r>
      <w:r>
        <w:rPr>
          <w:rFonts w:hint="default" w:ascii="宋体" w:hAnsi="宋体" w:eastAsia="宋体" w:cs="宋体"/>
          <w:color w:val="auto"/>
          <w:kern w:val="2"/>
          <w:sz w:val="28"/>
          <w:szCs w:val="24"/>
          <w:lang w:val="en-US" w:eastAsia="zh-CN" w:bidi="ar-SA"/>
        </w:rPr>
        <w:t>开展部门整体支出绩效评价，了解部门整体支出是否达到了预期目标、资金管理是否规范、资金使用是否有效，检验资金支出效率和效果，分析存在的问题及原因，及时总结经验，改进管理措施，不断增强和落实绩效管理责任，进一步规范财政资金的管理，强化财政支出绩效理念，提升部门责任意识，提高资金使用效益。</w:t>
      </w:r>
      <w:r>
        <w:rPr>
          <w:rFonts w:hint="eastAsia" w:ascii="宋体" w:hAnsi="宋体" w:eastAsia="宋体" w:cs="宋体"/>
          <w:color w:val="auto"/>
          <w:kern w:val="2"/>
          <w:sz w:val="28"/>
          <w:szCs w:val="24"/>
          <w:lang w:val="en-US" w:eastAsia="zh-CN" w:bidi="ar-SA"/>
        </w:rPr>
        <w:t>提高财政资金的使用效率，为财政部门预算管理提供决策依据。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p>
    <w:p>
      <w:pPr>
        <w:pStyle w:val="5"/>
        <w:bidi w:val="0"/>
        <w:rPr>
          <w:rFonts w:hint="eastAsia"/>
          <w:lang w:val="en-US" w:eastAsia="zh-CN"/>
        </w:rPr>
      </w:pPr>
      <w:bookmarkStart w:id="18" w:name="_Toc15618"/>
      <w:r>
        <w:rPr>
          <w:rFonts w:hint="eastAsia"/>
        </w:rPr>
        <w:t>2.2、绩效评价实施过程</w:t>
      </w:r>
      <w:bookmarkEnd w:id="17"/>
      <w:bookmarkEnd w:id="18"/>
    </w:p>
    <w:p>
      <w:pPr>
        <w:pStyle w:val="6"/>
        <w:bidi w:val="0"/>
        <w:rPr>
          <w:rFonts w:hint="default"/>
          <w:lang w:eastAsia="zh-CN"/>
        </w:rPr>
      </w:pPr>
      <w:bookmarkStart w:id="19" w:name="_Toc5841"/>
      <w:bookmarkStart w:id="20" w:name="_Toc12388"/>
      <w:r>
        <w:rPr>
          <w:rFonts w:hint="default"/>
          <w:lang w:val="en-US" w:eastAsia="zh-CN"/>
        </w:rPr>
        <w:t>2.2.1前期准备情况</w:t>
      </w:r>
      <w:bookmarkEnd w:id="19"/>
      <w:bookmarkEnd w:id="20"/>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bookmarkStart w:id="21" w:name="_Toc18681"/>
      <w:bookmarkStart w:id="22" w:name="_Toc12203"/>
      <w:r>
        <w:rPr>
          <w:rFonts w:hint="eastAsia" w:ascii="宋体" w:hAnsi="宋体" w:eastAsia="宋体" w:cs="宋体"/>
          <w:color w:val="auto"/>
          <w:kern w:val="2"/>
          <w:sz w:val="28"/>
          <w:szCs w:val="24"/>
          <w:lang w:val="en-US" w:eastAsia="zh-CN" w:bidi="ar-SA"/>
        </w:rPr>
        <w:t>按照市财政局《关于开展部门整体绩效评价试点的通知》（连财绩〔2021〕3号）、《连云港市市级财政预算绩效目标管理办法》文件精神，连云港市</w:t>
      </w:r>
      <w:r>
        <w:rPr>
          <w:rFonts w:hint="eastAsia" w:ascii="宋体" w:hAnsi="宋体" w:cs="宋体"/>
          <w:color w:val="auto"/>
          <w:kern w:val="2"/>
          <w:sz w:val="28"/>
          <w:szCs w:val="24"/>
          <w:lang w:val="en-US" w:eastAsia="zh-CN" w:bidi="ar-SA"/>
        </w:rPr>
        <w:t>散装水泥办公室</w:t>
      </w:r>
      <w:r>
        <w:rPr>
          <w:rFonts w:hint="eastAsia" w:ascii="宋体" w:hAnsi="宋体" w:eastAsia="宋体" w:cs="宋体"/>
          <w:color w:val="auto"/>
          <w:kern w:val="2"/>
          <w:sz w:val="28"/>
          <w:szCs w:val="24"/>
          <w:lang w:val="en-US" w:eastAsia="zh-CN" w:bidi="ar-SA"/>
        </w:rPr>
        <w:t>对绩效评价工作进行了动员部署，成立了整体绩效评价小组，进行任务分工，压实工作责任。要求各</w:t>
      </w:r>
      <w:r>
        <w:rPr>
          <w:rFonts w:hint="eastAsia" w:ascii="宋体" w:hAnsi="宋体" w:cs="宋体"/>
          <w:color w:val="auto"/>
          <w:kern w:val="2"/>
          <w:sz w:val="28"/>
          <w:szCs w:val="24"/>
          <w:lang w:val="en-US" w:eastAsia="zh-CN" w:bidi="ar-SA"/>
        </w:rPr>
        <w:t>科</w:t>
      </w:r>
      <w:r>
        <w:rPr>
          <w:rFonts w:hint="eastAsia" w:ascii="宋体" w:hAnsi="宋体" w:eastAsia="宋体" w:cs="宋体"/>
          <w:color w:val="auto"/>
          <w:kern w:val="2"/>
          <w:sz w:val="28"/>
          <w:szCs w:val="24"/>
          <w:lang w:val="en-US" w:eastAsia="zh-CN" w:bidi="ar-SA"/>
        </w:rPr>
        <w:t>室及相关人员根据通知，全面准备数据资料，组织自查、自评，</w:t>
      </w:r>
      <w:r>
        <w:rPr>
          <w:rFonts w:hint="default" w:ascii="宋体" w:hAnsi="宋体" w:eastAsia="宋体" w:cs="宋体"/>
          <w:color w:val="auto"/>
          <w:kern w:val="2"/>
          <w:sz w:val="28"/>
          <w:szCs w:val="24"/>
          <w:lang w:val="en-US" w:eastAsia="zh-CN" w:bidi="ar-SA"/>
        </w:rPr>
        <w:t>报送各个项目资金使用情况、支出效果以及存在问题和原因分析，整理各项目基础数据资料。</w:t>
      </w:r>
    </w:p>
    <w:p>
      <w:pPr>
        <w:pStyle w:val="6"/>
        <w:bidi w:val="0"/>
        <w:rPr>
          <w:rFonts w:hint="default"/>
          <w:lang w:val="en-US" w:eastAsia="zh-CN"/>
        </w:rPr>
      </w:pPr>
      <w:r>
        <w:rPr>
          <w:rFonts w:hint="default"/>
          <w:lang w:val="en-US" w:eastAsia="zh-CN"/>
        </w:rPr>
        <w:t>2.2.2现场核查情况</w:t>
      </w:r>
      <w:bookmarkEnd w:id="21"/>
      <w:bookmarkEnd w:id="22"/>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现场查阅、复核。对</w:t>
      </w:r>
      <w:r>
        <w:rPr>
          <w:rFonts w:hint="eastAsia" w:ascii="宋体" w:hAnsi="宋体" w:cs="宋体"/>
          <w:color w:val="auto"/>
          <w:kern w:val="2"/>
          <w:sz w:val="28"/>
          <w:szCs w:val="24"/>
          <w:lang w:val="en-US" w:eastAsia="zh-CN" w:bidi="ar-SA"/>
        </w:rPr>
        <w:t>散装水泥办公室</w:t>
      </w:r>
      <w:r>
        <w:rPr>
          <w:rFonts w:hint="default" w:ascii="宋体" w:hAnsi="宋体" w:eastAsia="宋体" w:cs="宋体"/>
          <w:color w:val="auto"/>
          <w:kern w:val="2"/>
          <w:sz w:val="28"/>
          <w:szCs w:val="24"/>
          <w:lang w:val="en-US" w:eastAsia="zh-CN" w:bidi="ar-SA"/>
        </w:rPr>
        <w:t>整体绩效相关资料进</w:t>
      </w:r>
      <w:r>
        <w:rPr>
          <w:rFonts w:hint="eastAsia" w:ascii="宋体" w:hAnsi="宋体" w:eastAsia="宋体" w:cs="宋体"/>
          <w:color w:val="auto"/>
          <w:kern w:val="2"/>
          <w:sz w:val="28"/>
          <w:szCs w:val="24"/>
          <w:lang w:val="en-US" w:eastAsia="zh-CN" w:bidi="ar-SA"/>
        </w:rPr>
        <w:t>行</w:t>
      </w:r>
      <w:r>
        <w:rPr>
          <w:rFonts w:hint="default" w:ascii="宋体" w:hAnsi="宋体" w:eastAsia="宋体" w:cs="宋体"/>
          <w:color w:val="auto"/>
          <w:kern w:val="2"/>
          <w:sz w:val="28"/>
          <w:szCs w:val="24"/>
          <w:lang w:val="en-US" w:eastAsia="zh-CN" w:bidi="ar-SA"/>
        </w:rPr>
        <w:t>查阅并核实，对所掌握的资料进行分析。</w:t>
      </w:r>
    </w:p>
    <w:p>
      <w:pPr>
        <w:pStyle w:val="6"/>
        <w:bidi w:val="0"/>
        <w:rPr>
          <w:rFonts w:hint="default"/>
        </w:rPr>
      </w:pPr>
      <w:bookmarkStart w:id="23" w:name="_Toc9069"/>
      <w:bookmarkStart w:id="24" w:name="_Toc31146"/>
      <w:r>
        <w:rPr>
          <w:rFonts w:hint="default"/>
          <w:lang w:val="en-US" w:eastAsia="zh-CN"/>
        </w:rPr>
        <w:t>2.2.3</w:t>
      </w:r>
      <w:r>
        <w:rPr>
          <w:rFonts w:hint="default"/>
        </w:rPr>
        <w:t>资料信息汇总及评价分析</w:t>
      </w:r>
      <w:bookmarkEnd w:id="23"/>
      <w:bookmarkEnd w:id="24"/>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汇总分析评价数据，依据制订的评价标准和打分规则，对管理中心整体绩效进行分析以及量化打分。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按照市财政局相关文件要求，</w:t>
      </w:r>
      <w:r>
        <w:rPr>
          <w:rFonts w:hint="eastAsia" w:ascii="宋体" w:hAnsi="宋体" w:eastAsia="宋体" w:cs="宋体"/>
          <w:color w:val="auto"/>
          <w:kern w:val="2"/>
          <w:sz w:val="28"/>
          <w:szCs w:val="24"/>
          <w:lang w:val="en-US" w:eastAsia="zh-CN" w:bidi="ar-SA"/>
        </w:rPr>
        <w:t>我</w:t>
      </w:r>
      <w:r>
        <w:rPr>
          <w:rFonts w:hint="eastAsia" w:ascii="宋体" w:hAnsi="宋体" w:cs="宋体"/>
          <w:color w:val="auto"/>
          <w:kern w:val="2"/>
          <w:sz w:val="28"/>
          <w:szCs w:val="24"/>
          <w:lang w:val="en-US" w:eastAsia="zh-CN" w:bidi="ar-SA"/>
        </w:rPr>
        <w:t>单位</w:t>
      </w:r>
      <w:r>
        <w:rPr>
          <w:rFonts w:hint="default" w:ascii="宋体" w:hAnsi="宋体" w:eastAsia="宋体" w:cs="宋体"/>
          <w:color w:val="auto"/>
          <w:kern w:val="2"/>
          <w:sz w:val="28"/>
          <w:szCs w:val="24"/>
          <w:lang w:val="en-US" w:eastAsia="zh-CN" w:bidi="ar-SA"/>
        </w:rPr>
        <w:t>根据部门整体支出绩效自评表指标对202</w:t>
      </w:r>
      <w:r>
        <w:rPr>
          <w:rFonts w:hint="eastAsia" w:ascii="宋体" w:hAnsi="宋体" w:eastAsia="宋体" w:cs="宋体"/>
          <w:color w:val="auto"/>
          <w:kern w:val="2"/>
          <w:sz w:val="28"/>
          <w:szCs w:val="24"/>
          <w:lang w:val="en-US" w:eastAsia="zh-CN" w:bidi="ar-SA"/>
        </w:rPr>
        <w:t>1</w:t>
      </w:r>
      <w:r>
        <w:rPr>
          <w:rFonts w:hint="default" w:ascii="宋体" w:hAnsi="宋体" w:eastAsia="宋体" w:cs="宋体"/>
          <w:color w:val="auto"/>
          <w:kern w:val="2"/>
          <w:sz w:val="28"/>
          <w:szCs w:val="24"/>
          <w:lang w:val="en-US" w:eastAsia="zh-CN" w:bidi="ar-SA"/>
        </w:rPr>
        <w:t>年全年预算数进行自评，主要包括目标设定、预算配置、预算执行、预算管理、资产管理、职责履行及履职效益等方面的情况。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自评组织过程。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一是组织相关部门人员认真学习绩效管理评价文件；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二是科学制定方案，评价开展前根据财政部门要求拟定了工作方案，对评价工作进行任务分工。为保障本次绩效评价工作顺利完成，由一把手任组长组成</w:t>
      </w:r>
      <w:r>
        <w:rPr>
          <w:rFonts w:hint="eastAsia" w:ascii="宋体" w:hAnsi="宋体" w:cs="宋体"/>
          <w:color w:val="auto"/>
          <w:kern w:val="2"/>
          <w:sz w:val="28"/>
          <w:szCs w:val="24"/>
          <w:lang w:val="en-US" w:eastAsia="zh-CN" w:bidi="ar-SA"/>
        </w:rPr>
        <w:t>单位</w:t>
      </w:r>
      <w:r>
        <w:rPr>
          <w:rFonts w:hint="eastAsia" w:ascii="宋体" w:hAnsi="宋体" w:eastAsia="宋体" w:cs="宋体"/>
          <w:color w:val="auto"/>
          <w:kern w:val="2"/>
          <w:sz w:val="28"/>
          <w:szCs w:val="24"/>
          <w:lang w:val="en-US" w:eastAsia="zh-CN" w:bidi="ar-SA"/>
        </w:rPr>
        <w:t>绩效评价工作小组，对涉及项目进行分类评价；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_GB2312" w:cs="Times New Roman"/>
          <w:color w:val="000000"/>
          <w:sz w:val="32"/>
          <w:szCs w:val="32"/>
          <w:lang w:val="en-US" w:eastAsia="zh-CN"/>
        </w:rPr>
      </w:pPr>
      <w:r>
        <w:rPr>
          <w:rFonts w:hint="eastAsia" w:ascii="宋体" w:hAnsi="宋体" w:eastAsia="宋体" w:cs="宋体"/>
          <w:color w:val="auto"/>
          <w:kern w:val="2"/>
          <w:sz w:val="28"/>
          <w:szCs w:val="24"/>
          <w:lang w:val="en-US" w:eastAsia="zh-CN" w:bidi="ar-SA"/>
        </w:rPr>
        <w:t>三是加强沟通协调，接到绩效评价工作任务后，及时将项目分解到相关部门，由各部门结合项目实施情况收集项目信息并填报绩效自评表，进行评定。在自评过程发现问题，查找原因，及时纠正偏差，为下一步工作夯实基础。</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rPr>
      </w:pPr>
    </w:p>
    <w:p>
      <w:pPr>
        <w:pStyle w:val="5"/>
        <w:bidi w:val="0"/>
      </w:pPr>
      <w:bookmarkStart w:id="25" w:name="_Toc22394"/>
      <w:bookmarkStart w:id="26" w:name="_Toc3950"/>
      <w:r>
        <w:rPr>
          <w:rFonts w:hint="eastAsia"/>
        </w:rPr>
        <w:t>2.3、绩效评价的局限性</w:t>
      </w:r>
      <w:bookmarkEnd w:id="25"/>
      <w:bookmarkEnd w:id="26"/>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本次部门整体支出绩效评价虽然在依据文件、评价流程、指标体系的构建、基础数据获取的要求、数据的采集、数据的汇总、评价方法、后期采用数学方法的处理等环节都力求规范、科学，但由于受到部门整体支出绩效评价指标体系设计、指标数据缺乏、经济性要求、时间要求所限，加之有些部门整体支出绩效评价指标的评价标准难以量化等因素，因此，部门整体支出绩效评价绩效评价的结果，在不影响总体可用的情况下，存在一定定量误差，实属正常。具体可能对部门整体支出绩效评价结果产生影响的因素包括：</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第一，在部门整体支出绩效评价的具体操作过程中，由于项目较为复杂、专业性强、涉及实施单位较多，在部门整体支出评价指标设定时，很难同时兼顾明确，具体和可衡量的标准。因此，使得定量、精准地反映部门整体支出的全部绩效变得非常困难。</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 xml:space="preserve"> 第二，全面、真实、有效、准确的数据资料是科学性和客观性评价的灵魂。本次部门支出绩效评价采集的数据资料受到采集时间、采集方法、数据资料来源影响，可能会出现一定的偏差。</w:t>
      </w:r>
    </w:p>
    <w:p>
      <w:pPr>
        <w:pStyle w:val="4"/>
        <w:bidi w:val="0"/>
        <w:rPr>
          <w:color w:val="auto"/>
        </w:rPr>
      </w:pPr>
      <w:bookmarkStart w:id="27" w:name="_Toc3826"/>
      <w:bookmarkStart w:id="28" w:name="_Toc32442"/>
      <w:r>
        <w:rPr>
          <w:rFonts w:hint="eastAsia"/>
          <w:color w:val="auto"/>
        </w:rPr>
        <w:t>3、部门整体绩效评价分析</w:t>
      </w:r>
      <w:bookmarkEnd w:id="27"/>
      <w:bookmarkEnd w:id="28"/>
    </w:p>
    <w:p>
      <w:pPr>
        <w:pStyle w:val="5"/>
        <w:bidi w:val="0"/>
        <w:rPr>
          <w:rFonts w:hint="eastAsia"/>
        </w:rPr>
      </w:pPr>
      <w:bookmarkStart w:id="29" w:name="_Toc4094"/>
      <w:bookmarkStart w:id="30" w:name="_Toc13701"/>
      <w:r>
        <w:rPr>
          <w:rFonts w:hint="eastAsia"/>
        </w:rPr>
        <w:t>3.1、内部管理</w:t>
      </w:r>
      <w:bookmarkEnd w:id="29"/>
      <w:bookmarkEnd w:id="30"/>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FF0000"/>
          <w:kern w:val="2"/>
          <w:sz w:val="28"/>
          <w:szCs w:val="24"/>
          <w:lang w:val="en-US" w:eastAsia="zh-CN" w:bidi="ar-SA"/>
        </w:rPr>
      </w:pPr>
      <w:r>
        <w:rPr>
          <w:rFonts w:hint="default" w:ascii="宋体" w:hAnsi="宋体" w:eastAsia="宋体" w:cs="宋体"/>
          <w:color w:val="auto"/>
          <w:kern w:val="2"/>
          <w:sz w:val="28"/>
          <w:szCs w:val="24"/>
          <w:lang w:val="en-US" w:eastAsia="zh-CN" w:bidi="ar-SA"/>
        </w:rPr>
        <w:t>总分</w:t>
      </w:r>
      <w:r>
        <w:rPr>
          <w:rFonts w:hint="eastAsia" w:ascii="宋体" w:hAnsi="宋体" w:eastAsia="宋体" w:cs="宋体"/>
          <w:color w:val="auto"/>
          <w:kern w:val="2"/>
          <w:sz w:val="28"/>
          <w:szCs w:val="24"/>
          <w:lang w:val="en-US" w:eastAsia="zh-CN" w:bidi="ar-SA"/>
        </w:rPr>
        <w:t>30</w:t>
      </w:r>
      <w:r>
        <w:rPr>
          <w:rFonts w:hint="default" w:ascii="宋体" w:hAnsi="宋体" w:eastAsia="宋体" w:cs="宋体"/>
          <w:color w:val="auto"/>
          <w:kern w:val="2"/>
          <w:sz w:val="28"/>
          <w:szCs w:val="24"/>
          <w:lang w:val="en-US" w:eastAsia="zh-CN" w:bidi="ar-SA"/>
        </w:rPr>
        <w:t>分，自评得分</w:t>
      </w:r>
      <w:r>
        <w:rPr>
          <w:rFonts w:hint="eastAsia" w:ascii="宋体" w:hAnsi="宋体" w:eastAsia="宋体" w:cs="宋体"/>
          <w:color w:val="auto"/>
          <w:kern w:val="2"/>
          <w:sz w:val="28"/>
          <w:szCs w:val="24"/>
          <w:lang w:val="en-US" w:eastAsia="zh-CN" w:bidi="ar-SA"/>
        </w:rPr>
        <w:t>24</w:t>
      </w:r>
      <w:r>
        <w:rPr>
          <w:rFonts w:hint="default" w:ascii="宋体" w:hAnsi="宋体" w:eastAsia="宋体" w:cs="宋体"/>
          <w:color w:val="auto"/>
          <w:kern w:val="2"/>
          <w:sz w:val="28"/>
          <w:szCs w:val="24"/>
          <w:lang w:val="en-US" w:eastAsia="zh-CN" w:bidi="ar-SA"/>
        </w:rPr>
        <w:t>分。</w:t>
      </w:r>
    </w:p>
    <w:p>
      <w:pPr>
        <w:pStyle w:val="6"/>
        <w:bidi w:val="0"/>
        <w:rPr>
          <w:rFonts w:hint="eastAsia"/>
        </w:rPr>
      </w:pPr>
      <w:r>
        <w:rPr>
          <w:rFonts w:hint="eastAsia"/>
          <w:lang w:val="en-US" w:eastAsia="zh-CN"/>
        </w:rPr>
        <w:t>3.11</w:t>
      </w:r>
      <w:r>
        <w:rPr>
          <w:rFonts w:hint="eastAsia"/>
        </w:rPr>
        <w:t>、决策管理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rPr>
      </w:pPr>
      <w:r>
        <w:rPr>
          <w:rFonts w:hint="default" w:ascii="宋体" w:hAnsi="宋体" w:eastAsia="宋体" w:cs="宋体"/>
          <w:color w:val="auto"/>
          <w:kern w:val="2"/>
          <w:sz w:val="28"/>
          <w:szCs w:val="24"/>
          <w:lang w:val="en-US" w:eastAsia="zh-CN" w:bidi="ar-SA"/>
        </w:rPr>
        <w:t>总分</w:t>
      </w:r>
      <w:r>
        <w:rPr>
          <w:rFonts w:hint="eastAsia" w:ascii="宋体" w:hAnsi="宋体" w:eastAsia="宋体" w:cs="宋体"/>
          <w:color w:val="auto"/>
          <w:kern w:val="2"/>
          <w:sz w:val="28"/>
          <w:szCs w:val="24"/>
          <w:lang w:val="en-US" w:eastAsia="zh-CN" w:bidi="ar-SA"/>
        </w:rPr>
        <w:t>4</w:t>
      </w:r>
      <w:r>
        <w:rPr>
          <w:rFonts w:hint="default" w:ascii="宋体" w:hAnsi="宋体" w:eastAsia="宋体" w:cs="宋体"/>
          <w:color w:val="auto"/>
          <w:kern w:val="2"/>
          <w:sz w:val="28"/>
          <w:szCs w:val="24"/>
          <w:lang w:val="en-US" w:eastAsia="zh-CN" w:bidi="ar-SA"/>
        </w:rPr>
        <w:t>分，自评得分</w:t>
      </w:r>
      <w:r>
        <w:rPr>
          <w:rFonts w:hint="eastAsia" w:ascii="宋体" w:hAnsi="宋体" w:cs="宋体"/>
          <w:color w:val="auto"/>
          <w:kern w:val="2"/>
          <w:sz w:val="28"/>
          <w:szCs w:val="24"/>
          <w:lang w:val="en-US" w:eastAsia="zh-CN" w:bidi="ar-SA"/>
        </w:rPr>
        <w:t>2</w:t>
      </w:r>
      <w:r>
        <w:rPr>
          <w:rFonts w:hint="default" w:ascii="宋体" w:hAnsi="宋体" w:eastAsia="宋体" w:cs="宋体"/>
          <w:color w:val="auto"/>
          <w:kern w:val="2"/>
          <w:sz w:val="28"/>
          <w:szCs w:val="24"/>
          <w:lang w:val="en-US" w:eastAsia="zh-CN" w:bidi="ar-SA"/>
        </w:rPr>
        <w:t>分。中长期规划完整性</w:t>
      </w:r>
      <w:r>
        <w:rPr>
          <w:rFonts w:hint="eastAsia" w:ascii="宋体" w:hAnsi="宋体" w:cs="宋体"/>
          <w:color w:val="auto"/>
          <w:kern w:val="2"/>
          <w:sz w:val="28"/>
          <w:szCs w:val="24"/>
          <w:lang w:val="en-US" w:eastAsia="zh-CN" w:bidi="ar-SA"/>
        </w:rPr>
        <w:t>1</w:t>
      </w:r>
      <w:r>
        <w:rPr>
          <w:rFonts w:hint="default" w:ascii="宋体" w:hAnsi="宋体" w:eastAsia="宋体" w:cs="宋体"/>
          <w:color w:val="auto"/>
          <w:kern w:val="2"/>
          <w:sz w:val="28"/>
          <w:szCs w:val="24"/>
          <w:lang w:val="en-US" w:eastAsia="zh-CN" w:bidi="ar-SA"/>
        </w:rPr>
        <w:t>分，年度工作计划明确性</w:t>
      </w:r>
      <w:r>
        <w:rPr>
          <w:rFonts w:hint="eastAsia" w:ascii="宋体" w:hAnsi="宋体" w:eastAsia="宋体" w:cs="宋体"/>
          <w:color w:val="auto"/>
          <w:kern w:val="2"/>
          <w:sz w:val="28"/>
          <w:szCs w:val="24"/>
          <w:lang w:val="en-US" w:eastAsia="zh-CN" w:bidi="ar-SA"/>
        </w:rPr>
        <w:t>1</w:t>
      </w:r>
      <w:r>
        <w:rPr>
          <w:rFonts w:hint="default" w:ascii="宋体" w:hAnsi="宋体" w:eastAsia="宋体" w:cs="宋体"/>
          <w:color w:val="auto"/>
          <w:kern w:val="2"/>
          <w:sz w:val="28"/>
          <w:szCs w:val="24"/>
          <w:lang w:val="en-US" w:eastAsia="zh-CN" w:bidi="ar-SA"/>
        </w:rPr>
        <w:t>分。</w:t>
      </w:r>
      <w:r>
        <w:rPr>
          <w:rFonts w:hint="eastAsia" w:ascii="宋体" w:hAnsi="宋体" w:eastAsia="宋体" w:cs="宋体"/>
          <w:color w:val="auto"/>
          <w:kern w:val="2"/>
          <w:sz w:val="28"/>
          <w:szCs w:val="24"/>
          <w:lang w:val="en-US" w:eastAsia="zh-CN" w:bidi="ar-SA"/>
        </w:rPr>
        <w:t>严格落实年度工作报告制度，汇总</w:t>
      </w:r>
      <w:r>
        <w:rPr>
          <w:rFonts w:hint="eastAsia" w:ascii="宋体" w:hAnsi="宋体" w:cs="宋体"/>
          <w:color w:val="auto"/>
          <w:kern w:val="2"/>
          <w:sz w:val="28"/>
          <w:szCs w:val="24"/>
          <w:lang w:val="en-US" w:eastAsia="zh-CN" w:bidi="ar-SA"/>
        </w:rPr>
        <w:t>各科</w:t>
      </w:r>
      <w:r>
        <w:rPr>
          <w:rFonts w:hint="eastAsia" w:ascii="宋体" w:hAnsi="宋体" w:eastAsia="宋体" w:cs="宋体"/>
          <w:color w:val="auto"/>
          <w:kern w:val="2"/>
          <w:sz w:val="28"/>
          <w:szCs w:val="24"/>
          <w:lang w:val="en-US" w:eastAsia="zh-CN" w:bidi="ar-SA"/>
        </w:rPr>
        <w:t>室年度工作完成情况和下年工作安排，编制全</w:t>
      </w:r>
      <w:r>
        <w:rPr>
          <w:rFonts w:hint="eastAsia" w:ascii="宋体" w:hAnsi="宋体" w:cs="宋体"/>
          <w:color w:val="auto"/>
          <w:kern w:val="2"/>
          <w:sz w:val="28"/>
          <w:szCs w:val="24"/>
          <w:lang w:val="en-US" w:eastAsia="zh-CN" w:bidi="ar-SA"/>
        </w:rPr>
        <w:t>单位</w:t>
      </w:r>
      <w:r>
        <w:rPr>
          <w:rFonts w:hint="eastAsia" w:ascii="宋体" w:hAnsi="宋体" w:eastAsia="宋体" w:cs="宋体"/>
          <w:color w:val="auto"/>
          <w:kern w:val="2"/>
          <w:sz w:val="28"/>
          <w:szCs w:val="24"/>
          <w:lang w:val="en-US" w:eastAsia="zh-CN" w:bidi="ar-SA"/>
        </w:rPr>
        <w:t>年度工作总结和来年工作计划。</w:t>
      </w:r>
    </w:p>
    <w:p>
      <w:pPr>
        <w:pStyle w:val="6"/>
        <w:bidi w:val="0"/>
        <w:rPr>
          <w:rFonts w:hint="eastAsia"/>
        </w:rPr>
      </w:pPr>
      <w:r>
        <w:rPr>
          <w:rFonts w:hint="eastAsia"/>
          <w:lang w:val="en-US" w:eastAsia="zh-CN"/>
        </w:rPr>
        <w:t>3.12、</w:t>
      </w:r>
      <w:r>
        <w:rPr>
          <w:rFonts w:hint="eastAsia"/>
        </w:rPr>
        <w:t>人员管理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总分</w:t>
      </w:r>
      <w:r>
        <w:rPr>
          <w:rFonts w:hint="eastAsia" w:ascii="宋体" w:hAnsi="宋体" w:eastAsia="宋体" w:cs="宋体"/>
          <w:color w:val="auto"/>
          <w:kern w:val="2"/>
          <w:sz w:val="28"/>
          <w:szCs w:val="24"/>
          <w:lang w:val="en-US" w:eastAsia="zh-CN" w:bidi="ar-SA"/>
        </w:rPr>
        <w:t>6</w:t>
      </w:r>
      <w:r>
        <w:rPr>
          <w:rFonts w:hint="default" w:ascii="宋体" w:hAnsi="宋体" w:eastAsia="宋体" w:cs="宋体"/>
          <w:color w:val="auto"/>
          <w:kern w:val="2"/>
          <w:sz w:val="28"/>
          <w:szCs w:val="24"/>
          <w:lang w:val="en-US" w:eastAsia="zh-CN" w:bidi="ar-SA"/>
        </w:rPr>
        <w:t>分，自评得分</w:t>
      </w:r>
      <w:r>
        <w:rPr>
          <w:rFonts w:hint="eastAsia" w:ascii="宋体" w:hAnsi="宋体" w:eastAsia="宋体" w:cs="宋体"/>
          <w:color w:val="auto"/>
          <w:kern w:val="2"/>
          <w:sz w:val="28"/>
          <w:szCs w:val="24"/>
          <w:lang w:val="en-US" w:eastAsia="zh-CN" w:bidi="ar-SA"/>
        </w:rPr>
        <w:t>4</w:t>
      </w:r>
      <w:r>
        <w:rPr>
          <w:rFonts w:hint="default" w:ascii="宋体" w:hAnsi="宋体" w:eastAsia="宋体" w:cs="宋体"/>
          <w:color w:val="auto"/>
          <w:kern w:val="2"/>
          <w:sz w:val="28"/>
          <w:szCs w:val="24"/>
          <w:lang w:val="en-US" w:eastAsia="zh-CN" w:bidi="ar-SA"/>
        </w:rPr>
        <w:t>分</w:t>
      </w:r>
      <w:r>
        <w:rPr>
          <w:rFonts w:hint="eastAsia" w:ascii="宋体" w:hAnsi="宋体" w:eastAsia="宋体" w:cs="宋体"/>
          <w:color w:val="auto"/>
          <w:kern w:val="2"/>
          <w:sz w:val="28"/>
          <w:szCs w:val="24"/>
          <w:lang w:val="en-US" w:eastAsia="zh-CN" w:bidi="ar-SA"/>
        </w:rPr>
        <w:t>。据相关文件合理控制财政供养人员情况，不断健全人事管理制度；同时根据单位工作需要对工作人员组织培训，提升员工工作能力。培训后应积极测试培训效果，反映培训成效，更好的更加真实的反馈培训的有效性。</w:t>
      </w:r>
    </w:p>
    <w:p>
      <w:pPr>
        <w:pStyle w:val="6"/>
        <w:bidi w:val="0"/>
      </w:pPr>
      <w:r>
        <w:rPr>
          <w:rFonts w:hint="eastAsia"/>
          <w:lang w:val="en-US" w:eastAsia="zh-CN"/>
        </w:rPr>
        <w:t>3.13</w:t>
      </w:r>
      <w:r>
        <w:rPr>
          <w:rFonts w:hint="eastAsia"/>
        </w:rPr>
        <w:t>、资金及资产管理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总分10分，自评得分10分。</w:t>
      </w:r>
      <w:r>
        <w:rPr>
          <w:rFonts w:hint="eastAsia" w:ascii="宋体" w:hAnsi="宋体" w:eastAsia="宋体" w:cs="宋体"/>
          <w:color w:val="auto"/>
          <w:kern w:val="2"/>
          <w:sz w:val="28"/>
          <w:szCs w:val="24"/>
          <w:lang w:val="en-US" w:eastAsia="zh-CN" w:bidi="ar-SA"/>
        </w:rPr>
        <w:t>资金使用符合财经法规和财务管理制度及有关专项资金管理办法的规定，资金的拨付有完整的审批过程和手续，支出符合部门预算批复的用途，合理编制年初预算以便于支出调整预算执行率为100%，做到资金使用中做到专款专用率为100%。依据《连云港市市级行政事业单位国有资产管理暂行办法》、《连云港市市级行政事业单位国有资产使用管理暂行办法》、《连云港市市级行政事业单位国有资产处置管理办法》，严格执行固定资产管理及政府采购制度，按照规定配置办公设备，规范固定资产的审批、购买、领用等程序，保证资产的安全性。</w:t>
      </w:r>
    </w:p>
    <w:p>
      <w:pPr>
        <w:pStyle w:val="6"/>
        <w:bidi w:val="0"/>
      </w:pPr>
      <w:r>
        <w:rPr>
          <w:rFonts w:hint="eastAsia"/>
          <w:lang w:val="en-US" w:eastAsia="zh-CN"/>
        </w:rPr>
        <w:t>3.1</w:t>
      </w:r>
      <w:r>
        <w:rPr>
          <w:rFonts w:hint="eastAsia"/>
        </w:rPr>
        <w:t>4、机构建设与内控管理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总分</w:t>
      </w:r>
      <w:r>
        <w:rPr>
          <w:rFonts w:hint="eastAsia" w:ascii="宋体" w:hAnsi="宋体" w:eastAsia="宋体" w:cs="宋体"/>
          <w:color w:val="auto"/>
          <w:kern w:val="2"/>
          <w:sz w:val="28"/>
          <w:szCs w:val="24"/>
          <w:lang w:val="en-US" w:eastAsia="zh-CN" w:bidi="ar-SA"/>
        </w:rPr>
        <w:t>10</w:t>
      </w:r>
      <w:r>
        <w:rPr>
          <w:rFonts w:hint="default" w:ascii="宋体" w:hAnsi="宋体" w:eastAsia="宋体" w:cs="宋体"/>
          <w:color w:val="auto"/>
          <w:kern w:val="2"/>
          <w:sz w:val="28"/>
          <w:szCs w:val="24"/>
          <w:lang w:val="en-US" w:eastAsia="zh-CN" w:bidi="ar-SA"/>
        </w:rPr>
        <w:t>分，自评得分</w:t>
      </w:r>
      <w:r>
        <w:rPr>
          <w:rFonts w:hint="eastAsia" w:ascii="宋体" w:hAnsi="宋体" w:cs="宋体"/>
          <w:color w:val="auto"/>
          <w:kern w:val="2"/>
          <w:sz w:val="28"/>
          <w:szCs w:val="24"/>
          <w:lang w:val="en-US" w:eastAsia="zh-CN" w:bidi="ar-SA"/>
        </w:rPr>
        <w:t>8</w:t>
      </w:r>
      <w:r>
        <w:rPr>
          <w:rFonts w:hint="default" w:ascii="宋体" w:hAnsi="宋体" w:eastAsia="宋体" w:cs="宋体"/>
          <w:color w:val="auto"/>
          <w:kern w:val="2"/>
          <w:sz w:val="28"/>
          <w:szCs w:val="24"/>
          <w:lang w:val="en-US" w:eastAsia="zh-CN" w:bidi="ar-SA"/>
        </w:rPr>
        <w:t>分</w:t>
      </w:r>
      <w:r>
        <w:rPr>
          <w:rFonts w:hint="eastAsia" w:ascii="宋体" w:hAnsi="宋体" w:eastAsia="宋体" w:cs="宋体"/>
          <w:color w:val="auto"/>
          <w:kern w:val="2"/>
          <w:sz w:val="28"/>
          <w:szCs w:val="24"/>
          <w:lang w:val="en-US" w:eastAsia="zh-CN" w:bidi="ar-SA"/>
        </w:rPr>
        <w:t>。单位不断健全落实工作风险控制制度将违纪违法发生数降至最低，严格落实中央规定精神及其实施细则，执行各项财务制度，合理编制预算，及时做好预决算省级平台公示及各种常规性报表。2021年网络及信息系统管理与运行安全稳定，还需提升自我。在部门工作创新上，虽然有所发展，但是发展不显著，下年度需要继续努力。</w:t>
      </w:r>
    </w:p>
    <w:p>
      <w:pPr>
        <w:pStyle w:val="5"/>
        <w:bidi w:val="0"/>
        <w:rPr>
          <w:rFonts w:hint="eastAsia"/>
          <w:color w:val="auto"/>
        </w:rPr>
      </w:pPr>
      <w:bookmarkStart w:id="48" w:name="_GoBack"/>
      <w:bookmarkStart w:id="31" w:name="_Toc8770"/>
      <w:bookmarkStart w:id="32" w:name="_Toc27950"/>
      <w:r>
        <w:rPr>
          <w:rFonts w:hint="eastAsia"/>
          <w:color w:val="auto"/>
        </w:rPr>
        <w:t>3.2、部门履职</w:t>
      </w:r>
      <w:bookmarkEnd w:id="31"/>
      <w:bookmarkEnd w:id="32"/>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FF0000"/>
          <w:kern w:val="2"/>
          <w:sz w:val="28"/>
          <w:szCs w:val="24"/>
          <w:lang w:val="en-US" w:eastAsia="zh-CN" w:bidi="ar-SA"/>
        </w:rPr>
      </w:pPr>
      <w:r>
        <w:rPr>
          <w:rFonts w:hint="default" w:ascii="宋体" w:hAnsi="宋体" w:eastAsia="宋体" w:cs="宋体"/>
          <w:color w:val="auto"/>
          <w:kern w:val="2"/>
          <w:sz w:val="28"/>
          <w:szCs w:val="24"/>
          <w:lang w:val="en-US" w:eastAsia="zh-CN" w:bidi="ar-SA"/>
        </w:rPr>
        <w:t>总分</w:t>
      </w:r>
      <w:r>
        <w:rPr>
          <w:rFonts w:hint="eastAsia" w:ascii="宋体" w:hAnsi="宋体" w:eastAsia="宋体" w:cs="宋体"/>
          <w:color w:val="auto"/>
          <w:kern w:val="2"/>
          <w:sz w:val="28"/>
          <w:szCs w:val="24"/>
          <w:lang w:val="en-US" w:eastAsia="zh-CN" w:bidi="ar-SA"/>
        </w:rPr>
        <w:t>7</w:t>
      </w:r>
      <w:r>
        <w:rPr>
          <w:rFonts w:hint="default" w:ascii="宋体" w:hAnsi="宋体" w:eastAsia="宋体" w:cs="宋体"/>
          <w:color w:val="auto"/>
          <w:kern w:val="2"/>
          <w:sz w:val="28"/>
          <w:szCs w:val="24"/>
          <w:lang w:val="en-US" w:eastAsia="zh-CN" w:bidi="ar-SA"/>
        </w:rPr>
        <w:t>0分，自评得分</w:t>
      </w:r>
      <w:r>
        <w:rPr>
          <w:rFonts w:hint="eastAsia" w:ascii="宋体" w:hAnsi="宋体" w:cs="宋体"/>
          <w:color w:val="auto"/>
          <w:kern w:val="2"/>
          <w:sz w:val="28"/>
          <w:szCs w:val="24"/>
          <w:lang w:val="en-US" w:eastAsia="zh-CN" w:bidi="ar-SA"/>
        </w:rPr>
        <w:t>70</w:t>
      </w:r>
      <w:r>
        <w:rPr>
          <w:rFonts w:hint="default" w:ascii="宋体" w:hAnsi="宋体" w:eastAsia="宋体" w:cs="宋体"/>
          <w:color w:val="auto"/>
          <w:kern w:val="2"/>
          <w:sz w:val="28"/>
          <w:szCs w:val="24"/>
          <w:lang w:val="en-US" w:eastAsia="zh-CN" w:bidi="ar-SA"/>
        </w:rPr>
        <w:t>分。</w:t>
      </w:r>
      <w:bookmarkEnd w:id="48"/>
    </w:p>
    <w:p>
      <w:pPr>
        <w:pStyle w:val="6"/>
        <w:bidi w:val="0"/>
        <w:rPr>
          <w:rFonts w:hint="eastAsia"/>
        </w:rPr>
      </w:pPr>
      <w:r>
        <w:rPr>
          <w:rFonts w:hint="eastAsia"/>
          <w:lang w:val="en-US" w:eastAsia="zh-CN"/>
        </w:rPr>
        <w:t>3.21 散装水泥行业发展提供辅助</w:t>
      </w:r>
      <w:r>
        <w:rPr>
          <w:rFonts w:hint="eastAsia"/>
        </w:rPr>
        <w:t>工作</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目标1：组织召开</w:t>
      </w:r>
      <w:r>
        <w:rPr>
          <w:rFonts w:hint="eastAsia" w:ascii="宋体" w:hAnsi="宋体" w:cs="宋体"/>
          <w:color w:val="auto"/>
          <w:kern w:val="2"/>
          <w:sz w:val="28"/>
          <w:szCs w:val="24"/>
          <w:lang w:val="en-US" w:eastAsia="zh-CN" w:bidi="ar-SA"/>
        </w:rPr>
        <w:t>散装水泥报表统计</w:t>
      </w:r>
      <w:r>
        <w:rPr>
          <w:rFonts w:hint="eastAsia" w:ascii="宋体" w:hAnsi="宋体" w:eastAsia="宋体" w:cs="宋体"/>
          <w:color w:val="auto"/>
          <w:kern w:val="2"/>
          <w:sz w:val="28"/>
          <w:szCs w:val="24"/>
          <w:lang w:val="en-US" w:eastAsia="zh-CN" w:bidi="ar-SA"/>
        </w:rPr>
        <w:t>业务培训</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单位本年度</w:t>
      </w:r>
      <w:r>
        <w:rPr>
          <w:rFonts w:hint="default" w:ascii="宋体" w:hAnsi="宋体" w:eastAsia="宋体" w:cs="宋体"/>
          <w:color w:val="auto"/>
          <w:kern w:val="2"/>
          <w:sz w:val="28"/>
          <w:szCs w:val="24"/>
          <w:lang w:val="en-US" w:eastAsia="zh-CN" w:bidi="ar-SA"/>
        </w:rPr>
        <w:t>组织召开</w:t>
      </w:r>
      <w:r>
        <w:rPr>
          <w:rFonts w:hint="eastAsia" w:ascii="宋体" w:hAnsi="宋体" w:cs="宋体"/>
          <w:color w:val="auto"/>
          <w:kern w:val="2"/>
          <w:sz w:val="28"/>
          <w:szCs w:val="24"/>
          <w:lang w:val="en-US" w:eastAsia="zh-CN" w:bidi="ar-SA"/>
        </w:rPr>
        <w:t>散装水泥报表统</w:t>
      </w:r>
      <w:r>
        <w:rPr>
          <w:rFonts w:hint="default" w:ascii="宋体" w:hAnsi="宋体" w:eastAsia="宋体" w:cs="宋体"/>
          <w:color w:val="auto"/>
          <w:kern w:val="2"/>
          <w:sz w:val="28"/>
          <w:szCs w:val="24"/>
          <w:lang w:val="en-US" w:eastAsia="zh-CN" w:bidi="ar-SA"/>
        </w:rPr>
        <w:t>业务培训</w:t>
      </w:r>
      <w:r>
        <w:rPr>
          <w:rFonts w:hint="eastAsia" w:ascii="宋体" w:hAnsi="宋体" w:eastAsia="宋体" w:cs="宋体"/>
          <w:color w:val="auto"/>
          <w:kern w:val="2"/>
          <w:sz w:val="28"/>
          <w:szCs w:val="24"/>
          <w:lang w:val="en-US" w:eastAsia="zh-CN" w:bidi="ar-SA"/>
        </w:rPr>
        <w:t>，旨在提高</w:t>
      </w:r>
      <w:r>
        <w:rPr>
          <w:rFonts w:hint="eastAsia" w:ascii="宋体" w:hAnsi="宋体" w:cs="宋体"/>
          <w:color w:val="auto"/>
          <w:kern w:val="2"/>
          <w:sz w:val="28"/>
          <w:szCs w:val="24"/>
          <w:lang w:val="en-US" w:eastAsia="zh-CN" w:bidi="ar-SA"/>
        </w:rPr>
        <w:t>从业人员</w:t>
      </w:r>
      <w:r>
        <w:rPr>
          <w:rFonts w:hint="eastAsia" w:ascii="宋体" w:hAnsi="宋体" w:eastAsia="宋体" w:cs="宋体"/>
          <w:color w:val="auto"/>
          <w:kern w:val="2"/>
          <w:sz w:val="28"/>
          <w:szCs w:val="24"/>
          <w:lang w:val="en-US" w:eastAsia="zh-CN" w:bidi="ar-SA"/>
        </w:rPr>
        <w:t>的专业素质以便提供更加</w:t>
      </w:r>
      <w:r>
        <w:rPr>
          <w:rFonts w:hint="eastAsia" w:ascii="宋体" w:hAnsi="宋体" w:cs="宋体"/>
          <w:color w:val="auto"/>
          <w:kern w:val="2"/>
          <w:sz w:val="28"/>
          <w:szCs w:val="24"/>
          <w:lang w:val="en-US" w:eastAsia="zh-CN" w:bidi="ar-SA"/>
        </w:rPr>
        <w:t>准确的</w:t>
      </w:r>
      <w:r>
        <w:rPr>
          <w:rFonts w:hint="eastAsia" w:ascii="宋体" w:hAnsi="宋体" w:eastAsia="宋体" w:cs="宋体"/>
          <w:color w:val="auto"/>
          <w:kern w:val="2"/>
          <w:sz w:val="28"/>
          <w:szCs w:val="24"/>
          <w:lang w:val="en-US" w:eastAsia="zh-CN" w:bidi="ar-SA"/>
        </w:rPr>
        <w:t>辅助工作。</w:t>
      </w:r>
      <w:r>
        <w:rPr>
          <w:rFonts w:hint="default" w:ascii="宋体" w:hAnsi="宋体" w:eastAsia="宋体" w:cs="宋体"/>
          <w:color w:val="auto"/>
          <w:kern w:val="2"/>
          <w:sz w:val="28"/>
          <w:szCs w:val="24"/>
          <w:lang w:val="en-US" w:eastAsia="zh-CN" w:bidi="ar-SA"/>
        </w:rPr>
        <w:t>加强与</w:t>
      </w:r>
      <w:r>
        <w:rPr>
          <w:rFonts w:hint="eastAsia" w:ascii="宋体" w:hAnsi="宋体" w:cs="宋体"/>
          <w:color w:val="auto"/>
          <w:kern w:val="2"/>
          <w:sz w:val="28"/>
          <w:szCs w:val="24"/>
          <w:lang w:val="en-US" w:eastAsia="zh-CN" w:bidi="ar-SA"/>
        </w:rPr>
        <w:t>生产、销售、使用散装水泥、预拌混凝土、 预拌砂浆企业的</w:t>
      </w:r>
      <w:r>
        <w:rPr>
          <w:rFonts w:hint="default" w:ascii="宋体" w:hAnsi="宋体" w:eastAsia="宋体" w:cs="宋体"/>
          <w:color w:val="auto"/>
          <w:kern w:val="2"/>
          <w:sz w:val="28"/>
          <w:szCs w:val="24"/>
          <w:lang w:val="en-US" w:eastAsia="zh-CN" w:bidi="ar-SA"/>
        </w:rPr>
        <w:t>沟通，创新服务管理</w:t>
      </w:r>
      <w:r>
        <w:rPr>
          <w:rFonts w:hint="eastAsia" w:ascii="宋体" w:hAnsi="宋体" w:cs="宋体"/>
          <w:color w:val="auto"/>
          <w:kern w:val="2"/>
          <w:sz w:val="28"/>
          <w:szCs w:val="24"/>
          <w:lang w:val="en-US" w:eastAsia="zh-CN" w:bidi="ar-SA"/>
        </w:rPr>
        <w:t>新</w:t>
      </w:r>
      <w:r>
        <w:rPr>
          <w:rFonts w:hint="default" w:ascii="宋体" w:hAnsi="宋体" w:eastAsia="宋体" w:cs="宋体"/>
          <w:color w:val="auto"/>
          <w:kern w:val="2"/>
          <w:sz w:val="28"/>
          <w:szCs w:val="24"/>
          <w:lang w:val="en-US" w:eastAsia="zh-CN" w:bidi="ar-SA"/>
        </w:rPr>
        <w:t>模式，完备各项手续</w:t>
      </w:r>
      <w:r>
        <w:rPr>
          <w:rFonts w:hint="eastAsia" w:ascii="宋体" w:hAnsi="宋体" w:cs="宋体"/>
          <w:color w:val="auto"/>
          <w:kern w:val="2"/>
          <w:sz w:val="28"/>
          <w:szCs w:val="24"/>
          <w:lang w:val="en-US" w:eastAsia="zh-CN" w:bidi="ar-SA"/>
        </w:rPr>
        <w:t>，</w:t>
      </w:r>
      <w:r>
        <w:rPr>
          <w:rFonts w:hint="eastAsia" w:ascii="宋体" w:hAnsi="宋体" w:eastAsia="宋体" w:cs="宋体"/>
          <w:color w:val="auto"/>
          <w:kern w:val="2"/>
          <w:sz w:val="28"/>
          <w:szCs w:val="24"/>
          <w:lang w:val="en-US" w:eastAsia="zh-CN" w:bidi="ar-SA"/>
        </w:rPr>
        <w:t>提高</w:t>
      </w:r>
      <w:r>
        <w:rPr>
          <w:rFonts w:hint="eastAsia" w:ascii="宋体" w:hAnsi="宋体" w:cs="宋体"/>
          <w:color w:val="auto"/>
          <w:kern w:val="2"/>
          <w:sz w:val="28"/>
          <w:szCs w:val="24"/>
          <w:lang w:val="en-US" w:eastAsia="zh-CN" w:bidi="ar-SA"/>
        </w:rPr>
        <w:t>服务对象</w:t>
      </w:r>
      <w:r>
        <w:rPr>
          <w:rFonts w:hint="eastAsia" w:ascii="宋体" w:hAnsi="宋体" w:eastAsia="宋体" w:cs="宋体"/>
          <w:color w:val="auto"/>
          <w:kern w:val="2"/>
          <w:sz w:val="28"/>
          <w:szCs w:val="24"/>
          <w:lang w:val="en-US" w:eastAsia="zh-CN" w:bidi="ar-SA"/>
        </w:rPr>
        <w:t>的满意度。</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目标2：对</w:t>
      </w:r>
      <w:r>
        <w:rPr>
          <w:rFonts w:hint="eastAsia" w:ascii="宋体" w:hAnsi="宋体" w:cs="宋体"/>
          <w:color w:val="auto"/>
          <w:kern w:val="2"/>
          <w:sz w:val="28"/>
          <w:szCs w:val="24"/>
          <w:lang w:val="en-US" w:eastAsia="zh-CN" w:bidi="ar-SA"/>
        </w:rPr>
        <w:t>管辖</w:t>
      </w:r>
      <w:r>
        <w:rPr>
          <w:rFonts w:hint="eastAsia" w:ascii="宋体" w:hAnsi="宋体" w:eastAsia="宋体" w:cs="宋体"/>
          <w:color w:val="auto"/>
          <w:kern w:val="2"/>
          <w:sz w:val="28"/>
          <w:szCs w:val="24"/>
          <w:lang w:val="en-US" w:eastAsia="zh-CN" w:bidi="ar-SA"/>
        </w:rPr>
        <w:t>范围内的</w:t>
      </w:r>
      <w:r>
        <w:rPr>
          <w:rFonts w:hint="eastAsia" w:ascii="宋体" w:hAnsi="宋体" w:cs="宋体"/>
          <w:color w:val="auto"/>
          <w:kern w:val="2"/>
          <w:sz w:val="28"/>
          <w:szCs w:val="24"/>
          <w:lang w:val="en-US" w:eastAsia="zh-CN" w:bidi="ar-SA"/>
        </w:rPr>
        <w:t>生产、制造使用散装水泥、预拌混凝土、预拌砂浆企业</w:t>
      </w:r>
      <w:r>
        <w:rPr>
          <w:rFonts w:hint="eastAsia" w:ascii="宋体" w:hAnsi="宋体" w:eastAsia="宋体" w:cs="宋体"/>
          <w:color w:val="auto"/>
          <w:kern w:val="2"/>
          <w:sz w:val="28"/>
          <w:szCs w:val="24"/>
          <w:lang w:val="en-US" w:eastAsia="zh-CN" w:bidi="ar-SA"/>
        </w:rPr>
        <w:t>提供决策依据</w:t>
      </w:r>
      <w:r>
        <w:rPr>
          <w:rFonts w:hint="eastAsia" w:ascii="宋体" w:hAnsi="宋体" w:cs="宋体"/>
          <w:color w:val="auto"/>
          <w:kern w:val="2"/>
          <w:sz w:val="28"/>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lang w:eastAsia="zh-CN"/>
        </w:rPr>
      </w:pPr>
      <w:r>
        <w:rPr>
          <w:rFonts w:hint="eastAsia" w:ascii="宋体" w:hAnsi="宋体" w:eastAsia="宋体" w:cs="宋体"/>
          <w:color w:val="auto"/>
          <w:kern w:val="2"/>
          <w:sz w:val="28"/>
          <w:szCs w:val="24"/>
          <w:lang w:val="en-US" w:eastAsia="zh-CN" w:bidi="ar-SA"/>
        </w:rPr>
        <w:t>对</w:t>
      </w:r>
      <w:r>
        <w:rPr>
          <w:rFonts w:hint="eastAsia" w:ascii="宋体" w:hAnsi="宋体" w:cs="宋体"/>
          <w:color w:val="auto"/>
          <w:kern w:val="2"/>
          <w:sz w:val="28"/>
          <w:szCs w:val="24"/>
          <w:lang w:val="en-US" w:eastAsia="zh-CN" w:bidi="ar-SA"/>
        </w:rPr>
        <w:t>管辖</w:t>
      </w:r>
      <w:r>
        <w:rPr>
          <w:rFonts w:hint="eastAsia" w:ascii="宋体" w:hAnsi="宋体" w:eastAsia="宋体" w:cs="宋体"/>
          <w:color w:val="auto"/>
          <w:kern w:val="2"/>
          <w:sz w:val="28"/>
          <w:szCs w:val="24"/>
          <w:lang w:val="en-US" w:eastAsia="zh-CN" w:bidi="ar-SA"/>
        </w:rPr>
        <w:t>范围内</w:t>
      </w:r>
      <w:r>
        <w:rPr>
          <w:rFonts w:hint="eastAsia" w:ascii="Times New Roman" w:hAnsi="Times New Roman" w:cs="Times New Roman"/>
          <w:i w:val="0"/>
          <w:color w:val="auto"/>
          <w:sz w:val="28"/>
          <w:szCs w:val="28"/>
          <w:u w:val="none"/>
          <w:shd w:val="clear" w:color="auto" w:fill="auto"/>
          <w:lang w:val="en-US" w:eastAsia="zh-CN"/>
        </w:rPr>
        <w:t>生产、制造、使用散装水泥、预拌混凝土、预拌砂浆等情况进行调查、登记。</w:t>
      </w:r>
      <w:r>
        <w:rPr>
          <w:rFonts w:hint="eastAsia" w:ascii="宋体" w:hAnsi="宋体" w:eastAsia="宋体" w:cs="宋体"/>
          <w:color w:val="auto"/>
          <w:kern w:val="2"/>
          <w:sz w:val="28"/>
          <w:szCs w:val="24"/>
          <w:lang w:val="en-US" w:eastAsia="zh-CN" w:bidi="ar-SA"/>
        </w:rPr>
        <w:t>确保走访</w:t>
      </w:r>
      <w:r>
        <w:rPr>
          <w:rFonts w:hint="eastAsia" w:ascii="宋体" w:hAnsi="宋体" w:cs="宋体"/>
          <w:color w:val="auto"/>
          <w:kern w:val="2"/>
          <w:sz w:val="28"/>
          <w:szCs w:val="24"/>
          <w:lang w:val="en-US" w:eastAsia="zh-CN" w:bidi="ar-SA"/>
        </w:rPr>
        <w:t>巡察</w:t>
      </w:r>
      <w:r>
        <w:rPr>
          <w:rFonts w:hint="eastAsia" w:ascii="宋体" w:hAnsi="宋体" w:eastAsia="宋体" w:cs="宋体"/>
          <w:color w:val="auto"/>
          <w:kern w:val="2"/>
          <w:sz w:val="28"/>
          <w:szCs w:val="24"/>
          <w:lang w:val="en-US" w:eastAsia="zh-CN" w:bidi="ar-SA"/>
        </w:rPr>
        <w:t>到</w:t>
      </w:r>
      <w:r>
        <w:rPr>
          <w:rFonts w:hint="eastAsia" w:ascii="宋体" w:hAnsi="宋体" w:cs="宋体"/>
          <w:color w:val="auto"/>
          <w:kern w:val="2"/>
          <w:sz w:val="28"/>
          <w:szCs w:val="24"/>
          <w:lang w:val="en-US" w:eastAsia="zh-CN" w:bidi="ar-SA"/>
        </w:rPr>
        <w:t>管辖</w:t>
      </w:r>
      <w:r>
        <w:rPr>
          <w:rFonts w:hint="eastAsia" w:ascii="宋体" w:hAnsi="宋体" w:eastAsia="宋体" w:cs="宋体"/>
          <w:color w:val="auto"/>
          <w:kern w:val="2"/>
          <w:sz w:val="28"/>
          <w:szCs w:val="24"/>
          <w:lang w:val="en-US" w:eastAsia="zh-CN" w:bidi="ar-SA"/>
        </w:rPr>
        <w:t>范围内的每家</w:t>
      </w:r>
      <w:r>
        <w:rPr>
          <w:rFonts w:hint="eastAsia" w:ascii="宋体" w:hAnsi="宋体" w:cs="宋体"/>
          <w:color w:val="auto"/>
          <w:kern w:val="2"/>
          <w:sz w:val="28"/>
          <w:szCs w:val="24"/>
          <w:lang w:val="en-US" w:eastAsia="zh-CN" w:bidi="ar-SA"/>
        </w:rPr>
        <w:t>企业、施工单位</w:t>
      </w:r>
      <w:r>
        <w:rPr>
          <w:rFonts w:hint="eastAsia" w:ascii="宋体" w:hAnsi="宋体" w:eastAsia="宋体" w:cs="宋体"/>
          <w:color w:val="auto"/>
          <w:kern w:val="2"/>
          <w:sz w:val="28"/>
          <w:szCs w:val="24"/>
          <w:lang w:val="en-US" w:eastAsia="zh-CN" w:bidi="ar-SA"/>
        </w:rPr>
        <w:t>，</w:t>
      </w:r>
      <w:r>
        <w:rPr>
          <w:rFonts w:hint="eastAsia" w:ascii="宋体" w:hAnsi="宋体" w:cs="宋体"/>
          <w:color w:val="auto"/>
          <w:kern w:val="2"/>
          <w:sz w:val="28"/>
          <w:szCs w:val="24"/>
          <w:lang w:val="en-US" w:eastAsia="zh-CN" w:bidi="ar-SA"/>
        </w:rPr>
        <w:t>为其</w:t>
      </w:r>
      <w:r>
        <w:rPr>
          <w:rFonts w:hint="eastAsia" w:ascii="宋体" w:hAnsi="宋体" w:eastAsia="宋体" w:cs="宋体"/>
          <w:color w:val="auto"/>
          <w:kern w:val="2"/>
          <w:sz w:val="28"/>
          <w:szCs w:val="24"/>
          <w:lang w:val="en-US" w:eastAsia="zh-CN" w:bidi="ar-SA"/>
        </w:rPr>
        <w:t>工作提供完善</w:t>
      </w:r>
      <w:r>
        <w:rPr>
          <w:rFonts w:hint="eastAsia" w:ascii="宋体" w:hAnsi="宋体" w:cs="宋体"/>
          <w:color w:val="auto"/>
          <w:kern w:val="2"/>
          <w:sz w:val="28"/>
          <w:szCs w:val="24"/>
          <w:lang w:val="en-US" w:eastAsia="zh-CN" w:bidi="ar-SA"/>
        </w:rPr>
        <w:t>准确</w:t>
      </w:r>
      <w:r>
        <w:rPr>
          <w:rFonts w:hint="eastAsia" w:ascii="宋体" w:hAnsi="宋体" w:eastAsia="宋体" w:cs="宋体"/>
          <w:color w:val="auto"/>
          <w:kern w:val="2"/>
          <w:sz w:val="28"/>
          <w:szCs w:val="24"/>
          <w:lang w:val="en-US" w:eastAsia="zh-CN" w:bidi="ar-SA"/>
        </w:rPr>
        <w:t>的决策依据。</w:t>
      </w:r>
    </w:p>
    <w:p>
      <w:pPr>
        <w:pStyle w:val="6"/>
        <w:bidi w:val="0"/>
        <w:rPr>
          <w:rFonts w:hint="default" w:eastAsia="宋体"/>
          <w:lang w:val="en-US" w:eastAsia="zh-CN"/>
        </w:rPr>
      </w:pPr>
      <w:r>
        <w:rPr>
          <w:rFonts w:hint="eastAsia"/>
          <w:lang w:val="en-US" w:eastAsia="zh-CN"/>
        </w:rPr>
        <w:t>3.22加强农村用散平台合作</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目标1：</w:t>
      </w:r>
      <w:r>
        <w:rPr>
          <w:rFonts w:hint="eastAsia" w:ascii="宋体" w:hAnsi="宋体" w:cs="宋体"/>
          <w:color w:val="auto"/>
          <w:kern w:val="2"/>
          <w:sz w:val="28"/>
          <w:szCs w:val="24"/>
          <w:lang w:val="en-US" w:eastAsia="zh-CN" w:bidi="ar-SA"/>
        </w:rPr>
        <w:t>使用</w:t>
      </w:r>
      <w:r>
        <w:rPr>
          <w:rFonts w:hint="eastAsia" w:ascii="宋体" w:hAnsi="宋体" w:eastAsia="宋体" w:cs="宋体"/>
          <w:color w:val="auto"/>
          <w:kern w:val="2"/>
          <w:sz w:val="28"/>
          <w:szCs w:val="24"/>
          <w:lang w:val="en-US" w:eastAsia="zh-CN" w:bidi="ar-SA"/>
        </w:rPr>
        <w:t>率</w:t>
      </w:r>
      <w:r>
        <w:rPr>
          <w:rFonts w:hint="eastAsia" w:ascii="宋体" w:hAnsi="宋体" w:cs="宋体"/>
          <w:color w:val="auto"/>
          <w:kern w:val="2"/>
          <w:sz w:val="28"/>
          <w:szCs w:val="24"/>
          <w:lang w:val="en-US" w:eastAsia="zh-CN" w:bidi="ar-SA"/>
        </w:rPr>
        <w:t>90</w:t>
      </w:r>
      <w:r>
        <w:rPr>
          <w:rFonts w:hint="eastAsia" w:ascii="宋体" w:hAnsi="宋体" w:eastAsia="宋体" w:cs="宋体"/>
          <w:color w:val="auto"/>
          <w:kern w:val="2"/>
          <w:sz w:val="28"/>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对于</w:t>
      </w:r>
      <w:r>
        <w:rPr>
          <w:rFonts w:hint="eastAsia" w:ascii="宋体" w:hAnsi="宋体" w:cs="宋体"/>
          <w:color w:val="auto"/>
          <w:kern w:val="2"/>
          <w:sz w:val="28"/>
          <w:szCs w:val="24"/>
          <w:lang w:val="en-US" w:eastAsia="zh-CN" w:bidi="ar-SA"/>
        </w:rPr>
        <w:t>县区农村用散</w:t>
      </w:r>
      <w:r>
        <w:rPr>
          <w:rFonts w:hint="default" w:ascii="宋体" w:hAnsi="宋体" w:eastAsia="宋体" w:cs="宋体"/>
          <w:color w:val="auto"/>
          <w:kern w:val="2"/>
          <w:sz w:val="28"/>
          <w:szCs w:val="24"/>
          <w:lang w:val="en-US" w:eastAsia="zh-CN" w:bidi="ar-SA"/>
        </w:rPr>
        <w:t>工作</w:t>
      </w:r>
      <w:r>
        <w:rPr>
          <w:rFonts w:hint="eastAsia" w:ascii="宋体" w:hAnsi="宋体" w:eastAsia="宋体" w:cs="宋体"/>
          <w:color w:val="auto"/>
          <w:kern w:val="2"/>
          <w:sz w:val="28"/>
          <w:szCs w:val="24"/>
          <w:lang w:val="en-US" w:eastAsia="zh-CN" w:bidi="ar-SA"/>
        </w:rPr>
        <w:t>，要做到</w:t>
      </w:r>
      <w:r>
        <w:rPr>
          <w:rFonts w:hint="default" w:ascii="宋体" w:hAnsi="宋体" w:eastAsia="宋体" w:cs="宋体"/>
          <w:color w:val="auto"/>
          <w:kern w:val="2"/>
          <w:sz w:val="28"/>
          <w:szCs w:val="24"/>
          <w:lang w:val="en-US" w:eastAsia="zh-CN" w:bidi="ar-SA"/>
        </w:rPr>
        <w:t>加强与</w:t>
      </w:r>
      <w:r>
        <w:rPr>
          <w:rFonts w:hint="eastAsia" w:ascii="宋体" w:hAnsi="宋体" w:cs="宋体"/>
          <w:color w:val="auto"/>
          <w:kern w:val="2"/>
          <w:sz w:val="28"/>
          <w:szCs w:val="24"/>
          <w:lang w:val="en-US" w:eastAsia="zh-CN" w:bidi="ar-SA"/>
        </w:rPr>
        <w:t>使用单位</w:t>
      </w:r>
      <w:r>
        <w:rPr>
          <w:rFonts w:hint="eastAsia" w:ascii="宋体" w:hAnsi="宋体" w:eastAsia="宋体" w:cs="宋体"/>
          <w:color w:val="auto"/>
          <w:kern w:val="2"/>
          <w:sz w:val="28"/>
          <w:szCs w:val="24"/>
          <w:lang w:val="en-US" w:eastAsia="zh-CN" w:bidi="ar-SA"/>
        </w:rPr>
        <w:t>的</w:t>
      </w:r>
      <w:r>
        <w:rPr>
          <w:rFonts w:hint="default" w:ascii="宋体" w:hAnsi="宋体" w:eastAsia="宋体" w:cs="宋体"/>
          <w:color w:val="auto"/>
          <w:kern w:val="2"/>
          <w:sz w:val="28"/>
          <w:szCs w:val="24"/>
          <w:lang w:val="en-US" w:eastAsia="zh-CN" w:bidi="ar-SA"/>
        </w:rPr>
        <w:t>沟通</w:t>
      </w:r>
      <w:r>
        <w:rPr>
          <w:rFonts w:hint="eastAsia" w:ascii="宋体" w:hAnsi="宋体" w:cs="宋体"/>
          <w:color w:val="auto"/>
          <w:kern w:val="2"/>
          <w:sz w:val="28"/>
          <w:szCs w:val="24"/>
          <w:lang w:val="en-US" w:eastAsia="zh-CN" w:bidi="ar-SA"/>
        </w:rPr>
        <w:t>和推广</w:t>
      </w:r>
      <w:r>
        <w:rPr>
          <w:rFonts w:hint="default" w:ascii="宋体" w:hAnsi="宋体" w:eastAsia="宋体" w:cs="宋体"/>
          <w:color w:val="auto"/>
          <w:kern w:val="2"/>
          <w:sz w:val="28"/>
          <w:szCs w:val="24"/>
          <w:lang w:val="en-US" w:eastAsia="zh-CN" w:bidi="ar-SA"/>
        </w:rPr>
        <w:t>，</w:t>
      </w:r>
      <w:r>
        <w:rPr>
          <w:rFonts w:hint="eastAsia" w:ascii="宋体" w:hAnsi="宋体" w:eastAsia="宋体" w:cs="宋体"/>
          <w:color w:val="auto"/>
          <w:kern w:val="2"/>
          <w:sz w:val="28"/>
          <w:szCs w:val="24"/>
          <w:lang w:val="en-US" w:eastAsia="zh-CN" w:bidi="ar-SA"/>
        </w:rPr>
        <w:t>争取</w:t>
      </w:r>
      <w:r>
        <w:rPr>
          <w:rFonts w:hint="eastAsia" w:ascii="宋体" w:hAnsi="宋体" w:cs="宋体"/>
          <w:color w:val="auto"/>
          <w:kern w:val="2"/>
          <w:sz w:val="28"/>
          <w:szCs w:val="24"/>
          <w:lang w:val="en-US" w:eastAsia="zh-CN" w:bidi="ar-SA"/>
        </w:rPr>
        <w:t>农村用散使用</w:t>
      </w:r>
      <w:r>
        <w:rPr>
          <w:rFonts w:hint="eastAsia" w:ascii="宋体" w:hAnsi="宋体" w:eastAsia="宋体" w:cs="宋体"/>
          <w:color w:val="auto"/>
          <w:kern w:val="2"/>
          <w:sz w:val="28"/>
          <w:szCs w:val="24"/>
          <w:lang w:val="en-US" w:eastAsia="zh-CN" w:bidi="ar-SA"/>
        </w:rPr>
        <w:t>率达到</w:t>
      </w:r>
      <w:r>
        <w:rPr>
          <w:rFonts w:hint="eastAsia" w:ascii="宋体" w:hAnsi="宋体" w:cs="宋体"/>
          <w:color w:val="auto"/>
          <w:kern w:val="2"/>
          <w:sz w:val="28"/>
          <w:szCs w:val="24"/>
          <w:lang w:val="en-US" w:eastAsia="zh-CN" w:bidi="ar-SA"/>
        </w:rPr>
        <w:t>90</w:t>
      </w:r>
      <w:r>
        <w:rPr>
          <w:rFonts w:hint="eastAsia" w:ascii="宋体" w:hAnsi="宋体" w:eastAsia="宋体" w:cs="宋体"/>
          <w:color w:val="auto"/>
          <w:kern w:val="2"/>
          <w:sz w:val="28"/>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目标2：</w:t>
      </w:r>
      <w:r>
        <w:rPr>
          <w:rFonts w:hint="eastAsia" w:ascii="宋体" w:hAnsi="宋体" w:cs="宋体"/>
          <w:color w:val="auto"/>
          <w:kern w:val="2"/>
          <w:sz w:val="28"/>
          <w:szCs w:val="24"/>
          <w:lang w:val="en-US" w:eastAsia="zh-CN" w:bidi="ar-SA"/>
        </w:rPr>
        <w:t>宣传推广覆盖率100%</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4"/>
          <w:lang w:val="en-US" w:eastAsia="zh-CN" w:bidi="ar-SA"/>
        </w:rPr>
      </w:pPr>
      <w:r>
        <w:rPr>
          <w:rFonts w:hint="default" w:ascii="宋体" w:hAnsi="宋体" w:eastAsia="宋体" w:cs="宋体"/>
          <w:color w:val="auto"/>
          <w:kern w:val="2"/>
          <w:sz w:val="28"/>
          <w:szCs w:val="24"/>
          <w:lang w:val="en-US" w:eastAsia="zh-CN" w:bidi="ar-SA"/>
        </w:rPr>
        <w:t>创新</w:t>
      </w:r>
      <w:r>
        <w:rPr>
          <w:rFonts w:hint="eastAsia" w:ascii="宋体" w:hAnsi="宋体" w:cs="宋体"/>
          <w:color w:val="auto"/>
          <w:kern w:val="2"/>
          <w:sz w:val="28"/>
          <w:szCs w:val="24"/>
          <w:lang w:val="en-US" w:eastAsia="zh-CN" w:bidi="ar-SA"/>
        </w:rPr>
        <w:t>宣传推广</w:t>
      </w:r>
      <w:r>
        <w:rPr>
          <w:rFonts w:hint="default" w:ascii="宋体" w:hAnsi="宋体" w:eastAsia="宋体" w:cs="宋体"/>
          <w:color w:val="auto"/>
          <w:kern w:val="2"/>
          <w:sz w:val="28"/>
          <w:szCs w:val="24"/>
          <w:lang w:val="en-US" w:eastAsia="zh-CN" w:bidi="ar-SA"/>
        </w:rPr>
        <w:t>模式，</w:t>
      </w:r>
      <w:r>
        <w:rPr>
          <w:rFonts w:hint="eastAsia" w:ascii="宋体" w:hAnsi="宋体" w:eastAsia="宋体" w:cs="宋体"/>
          <w:color w:val="auto"/>
          <w:kern w:val="2"/>
          <w:sz w:val="28"/>
          <w:szCs w:val="24"/>
          <w:lang w:val="en-US" w:eastAsia="zh-CN" w:bidi="ar-SA"/>
        </w:rPr>
        <w:t>加强</w:t>
      </w:r>
      <w:r>
        <w:rPr>
          <w:rFonts w:hint="eastAsia" w:ascii="宋体" w:hAnsi="宋体" w:cs="宋体"/>
          <w:color w:val="auto"/>
          <w:kern w:val="2"/>
          <w:sz w:val="28"/>
          <w:szCs w:val="24"/>
          <w:lang w:val="en-US" w:eastAsia="zh-CN" w:bidi="ar-SA"/>
        </w:rPr>
        <w:t>农村乡镇用户</w:t>
      </w:r>
      <w:r>
        <w:rPr>
          <w:rFonts w:hint="eastAsia" w:ascii="宋体" w:hAnsi="宋体" w:eastAsia="宋体" w:cs="宋体"/>
          <w:color w:val="auto"/>
          <w:kern w:val="2"/>
          <w:sz w:val="28"/>
          <w:szCs w:val="24"/>
          <w:lang w:val="en-US" w:eastAsia="zh-CN" w:bidi="ar-SA"/>
        </w:rPr>
        <w:t>的沟通交流，争取本年度</w:t>
      </w:r>
      <w:r>
        <w:rPr>
          <w:rFonts w:hint="eastAsia" w:ascii="宋体" w:hAnsi="宋体" w:cs="宋体"/>
          <w:color w:val="auto"/>
          <w:kern w:val="2"/>
          <w:sz w:val="28"/>
          <w:szCs w:val="24"/>
          <w:lang w:val="en-US" w:eastAsia="zh-CN" w:bidi="ar-SA"/>
        </w:rPr>
        <w:t>用散宣传推广覆盖率达100%</w:t>
      </w:r>
      <w:r>
        <w:rPr>
          <w:rFonts w:hint="eastAsia" w:ascii="宋体" w:hAnsi="宋体" w:eastAsia="宋体" w:cs="宋体"/>
          <w:color w:val="auto"/>
          <w:kern w:val="2"/>
          <w:sz w:val="28"/>
          <w:szCs w:val="24"/>
          <w:lang w:val="en-US" w:eastAsia="zh-CN" w:bidi="ar-SA"/>
        </w:rPr>
        <w:t>。</w:t>
      </w:r>
    </w:p>
    <w:p>
      <w:pPr>
        <w:numPr>
          <w:ilvl w:val="0"/>
          <w:numId w:val="0"/>
        </w:numPr>
        <w:ind w:leftChars="200"/>
        <w:rPr>
          <w:rStyle w:val="24"/>
          <w:rFonts w:hint="eastAsia"/>
        </w:rPr>
      </w:pPr>
      <w:r>
        <w:rPr>
          <w:rStyle w:val="24"/>
          <w:rFonts w:hint="eastAsia"/>
          <w:lang w:val="en-US" w:eastAsia="zh-CN"/>
        </w:rPr>
        <w:t>3.23</w:t>
      </w:r>
      <w:r>
        <w:rPr>
          <w:rStyle w:val="24"/>
          <w:rFonts w:hint="eastAsia"/>
        </w:rPr>
        <w:t>履职效果</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2021年工作，</w:t>
      </w:r>
      <w:r>
        <w:rPr>
          <w:rFonts w:hint="eastAsia" w:ascii="宋体" w:hAnsi="宋体" w:cs="宋体"/>
          <w:color w:val="auto"/>
          <w:kern w:val="2"/>
          <w:sz w:val="28"/>
          <w:szCs w:val="24"/>
          <w:lang w:val="en-US" w:eastAsia="zh-CN" w:bidi="ar-SA"/>
        </w:rPr>
        <w:t>虽然</w:t>
      </w:r>
      <w:r>
        <w:rPr>
          <w:rFonts w:hint="eastAsia" w:ascii="宋体" w:hAnsi="宋体" w:eastAsia="宋体" w:cs="宋体"/>
          <w:color w:val="auto"/>
          <w:kern w:val="2"/>
          <w:sz w:val="28"/>
          <w:szCs w:val="24"/>
          <w:lang w:val="en-US" w:eastAsia="zh-CN" w:bidi="ar-SA"/>
        </w:rPr>
        <w:t>工作取得了一定的成绩</w:t>
      </w:r>
      <w:r>
        <w:rPr>
          <w:rFonts w:hint="eastAsia" w:ascii="宋体" w:hAnsi="宋体" w:cs="宋体"/>
          <w:color w:val="auto"/>
          <w:kern w:val="2"/>
          <w:sz w:val="28"/>
          <w:szCs w:val="24"/>
          <w:lang w:val="en-US" w:eastAsia="zh-CN" w:bidi="ar-SA"/>
        </w:rPr>
        <w:t>，</w:t>
      </w:r>
      <w:r>
        <w:rPr>
          <w:rFonts w:hint="eastAsia" w:ascii="宋体" w:hAnsi="宋体" w:eastAsia="宋体" w:cs="宋体"/>
          <w:color w:val="auto"/>
          <w:kern w:val="2"/>
          <w:sz w:val="28"/>
          <w:szCs w:val="24"/>
          <w:lang w:val="en-US" w:eastAsia="zh-CN" w:bidi="ar-SA"/>
        </w:rPr>
        <w:t>但与市委、市政府推进城乡发展的总体目标相比，与人民群众改善人居环境与生活质量的迫切愿望相比，还存在一些差距和不足。尤其是受今年新冠肺炎疫情影响，当前一部分工作还存在推进不快、品质不高等问题。但同时也没有松懈，连云港市</w:t>
      </w:r>
      <w:r>
        <w:rPr>
          <w:rFonts w:hint="eastAsia" w:ascii="宋体" w:hAnsi="宋体" w:cs="宋体"/>
          <w:color w:val="auto"/>
          <w:kern w:val="2"/>
          <w:sz w:val="28"/>
          <w:szCs w:val="24"/>
          <w:lang w:val="en-US" w:eastAsia="zh-CN" w:bidi="ar-SA"/>
        </w:rPr>
        <w:t>散装水泥办公室将</w:t>
      </w:r>
      <w:r>
        <w:rPr>
          <w:rFonts w:hint="eastAsia" w:ascii="宋体" w:hAnsi="宋体" w:eastAsia="宋体" w:cs="宋体"/>
          <w:color w:val="auto"/>
          <w:kern w:val="2"/>
          <w:sz w:val="28"/>
          <w:szCs w:val="24"/>
          <w:lang w:val="en-US" w:eastAsia="zh-CN" w:bidi="ar-SA"/>
        </w:rPr>
        <w:t>按照年度工作计划切实开展</w:t>
      </w:r>
      <w:r>
        <w:rPr>
          <w:rFonts w:hint="eastAsia" w:ascii="宋体" w:hAnsi="宋体" w:cs="宋体"/>
          <w:color w:val="auto"/>
          <w:kern w:val="2"/>
          <w:sz w:val="28"/>
          <w:szCs w:val="24"/>
          <w:lang w:val="en-US" w:eastAsia="zh-CN" w:bidi="ar-SA"/>
        </w:rPr>
        <w:t>散装水泥、预拌混凝土、预拌砂浆</w:t>
      </w:r>
      <w:r>
        <w:rPr>
          <w:rFonts w:hint="eastAsia" w:ascii="宋体" w:hAnsi="宋体" w:eastAsia="宋体" w:cs="宋体"/>
          <w:color w:val="auto"/>
          <w:kern w:val="2"/>
          <w:sz w:val="28"/>
          <w:szCs w:val="24"/>
          <w:lang w:val="en-US" w:eastAsia="zh-CN" w:bidi="ar-SA"/>
        </w:rPr>
        <w:t>服务管理工作，不断增强服务意识，着力在沟通、服务等方面下功夫，推进各项工作有序进行，圆满完成年度工作计划和任务指标。</w:t>
      </w:r>
    </w:p>
    <w:p>
      <w:pPr>
        <w:pStyle w:val="4"/>
        <w:bidi w:val="0"/>
      </w:pPr>
      <w:bookmarkStart w:id="33" w:name="_Toc19718"/>
      <w:bookmarkStart w:id="34" w:name="_Toc11944"/>
      <w:r>
        <w:rPr>
          <w:rFonts w:hint="eastAsia"/>
        </w:rPr>
        <w:t>4、需要说明事项</w:t>
      </w:r>
      <w:bookmarkEnd w:id="33"/>
      <w:bookmarkEnd w:id="34"/>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仿宋_GB2312"/>
          <w:sz w:val="32"/>
          <w:szCs w:val="32"/>
          <w:lang w:eastAsia="zh-CN"/>
        </w:rPr>
      </w:pPr>
      <w:r>
        <w:rPr>
          <w:rFonts w:hint="eastAsia" w:ascii="宋体" w:hAnsi="宋体" w:eastAsia="宋体" w:cs="宋体"/>
          <w:color w:val="auto"/>
          <w:kern w:val="2"/>
          <w:sz w:val="28"/>
          <w:szCs w:val="24"/>
          <w:lang w:val="en-US" w:eastAsia="zh-CN" w:bidi="ar-SA"/>
        </w:rPr>
        <w:t>无需要说明事项</w:t>
      </w:r>
      <w:r>
        <w:rPr>
          <w:rFonts w:hint="eastAsia" w:ascii="Times New Roman" w:hAnsi="Times New Roman" w:eastAsia="仿宋_GB2312"/>
          <w:sz w:val="32"/>
          <w:szCs w:val="32"/>
          <w:lang w:eastAsia="zh-CN"/>
        </w:rPr>
        <w:t>。</w:t>
      </w:r>
    </w:p>
    <w:p>
      <w:pPr>
        <w:rPr>
          <w:rFonts w:hint="eastAsia" w:ascii="Times New Roman" w:hAnsi="Times New Roman" w:eastAsia="仿宋_GB2312"/>
          <w:sz w:val="32"/>
          <w:szCs w:val="32"/>
          <w:lang w:eastAsia="zh-CN"/>
        </w:rPr>
      </w:pPr>
    </w:p>
    <w:p>
      <w:pPr>
        <w:pStyle w:val="4"/>
        <w:bidi w:val="0"/>
      </w:pPr>
      <w:bookmarkStart w:id="35" w:name="_Toc30097"/>
      <w:bookmarkStart w:id="36" w:name="_Toc2103"/>
      <w:r>
        <w:rPr>
          <w:rFonts w:hint="eastAsia"/>
        </w:rPr>
        <w:t>5、绩效评价结论</w:t>
      </w:r>
      <w:bookmarkEnd w:id="35"/>
      <w:bookmarkEnd w:id="36"/>
    </w:p>
    <w:p>
      <w:pPr>
        <w:pStyle w:val="5"/>
        <w:bidi w:val="0"/>
      </w:pPr>
      <w:bookmarkStart w:id="37" w:name="_Toc14567"/>
      <w:bookmarkStart w:id="38" w:name="_Toc31605"/>
      <w:r>
        <w:rPr>
          <w:rFonts w:hint="eastAsia"/>
        </w:rPr>
        <w:t>5.1、绩效评价得分</w:t>
      </w:r>
      <w:bookmarkEnd w:id="37"/>
      <w:bookmarkEnd w:id="38"/>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本次部门整体绩效得分为90分。按照相关财政支出绩效自评暂行办法对本部门整体支出绩效进行了自查自评，通过加强组织领导和统筹协调，完善绩效评价指标体系，落实主体责任，强化运行跟踪和监控管理。</w:t>
      </w:r>
    </w:p>
    <w:p>
      <w:pPr>
        <w:pStyle w:val="5"/>
        <w:bidi w:val="0"/>
      </w:pPr>
      <w:bookmarkStart w:id="39" w:name="_Toc26817"/>
      <w:bookmarkStart w:id="40" w:name="_Toc15645"/>
      <w:r>
        <w:rPr>
          <w:rFonts w:hint="eastAsia"/>
        </w:rPr>
        <w:t>5.2、存在绩效问题</w:t>
      </w:r>
      <w:bookmarkEnd w:id="39"/>
      <w:bookmarkEnd w:id="40"/>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绩效评价过程与预算编制、执行相结合的工作机制和部门协调机制有待完善。基于科学分类的绩效标准的缺失，分析方法的单一，专业人才的匮乏，都影响了绩效管理工作的科学性和规范性。部分项目资金支付进度滞后，财务制度执行力有待加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仿宋_GB2312"/>
          <w:sz w:val="32"/>
          <w:szCs w:val="32"/>
          <w:lang w:eastAsia="zh-CN"/>
        </w:rPr>
      </w:pPr>
    </w:p>
    <w:p>
      <w:pPr>
        <w:pStyle w:val="4"/>
        <w:bidi w:val="0"/>
      </w:pPr>
      <w:bookmarkStart w:id="41" w:name="_Toc6504"/>
      <w:bookmarkStart w:id="42" w:name="_Toc5276"/>
      <w:r>
        <w:rPr>
          <w:rFonts w:hint="eastAsia"/>
        </w:rPr>
        <w:t>6、经验教训与建议</w:t>
      </w:r>
      <w:bookmarkEnd w:id="41"/>
      <w:bookmarkEnd w:id="42"/>
    </w:p>
    <w:p>
      <w:pPr>
        <w:pStyle w:val="5"/>
        <w:bidi w:val="0"/>
      </w:pPr>
      <w:bookmarkStart w:id="43" w:name="_Toc13672"/>
      <w:bookmarkStart w:id="44" w:name="_Toc29952"/>
      <w:r>
        <w:rPr>
          <w:rFonts w:hint="eastAsia"/>
        </w:rPr>
        <w:t>6.1、经验教训</w:t>
      </w:r>
      <w:bookmarkEnd w:id="43"/>
      <w:bookmarkEnd w:id="44"/>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通过这次的绩效评价，总结了预算绩效评价的要求，将绩效管理评价工作按预算编制、预算执行、预算管理、支出绩效四个部分，从项目立项、绩效目标、资金管理、财务质量控制以及项目经济社会效益等方面进行绩效评价。按照工作内容、工作措施、工作时限和要达到的预期效果，进一步分解细化，将责任落实到</w:t>
      </w:r>
      <w:r>
        <w:rPr>
          <w:rFonts w:hint="eastAsia" w:ascii="宋体" w:hAnsi="宋体" w:cs="宋体"/>
          <w:color w:val="auto"/>
          <w:kern w:val="2"/>
          <w:sz w:val="28"/>
          <w:szCs w:val="24"/>
          <w:lang w:val="en-US" w:eastAsia="zh-CN" w:bidi="ar-SA"/>
        </w:rPr>
        <w:t>科</w:t>
      </w:r>
      <w:r>
        <w:rPr>
          <w:rFonts w:hint="eastAsia" w:ascii="宋体" w:hAnsi="宋体" w:eastAsia="宋体" w:cs="宋体"/>
          <w:color w:val="auto"/>
          <w:kern w:val="2"/>
          <w:sz w:val="28"/>
          <w:szCs w:val="24"/>
          <w:lang w:val="en-US" w:eastAsia="zh-CN" w:bidi="ar-SA"/>
        </w:rPr>
        <w:t>室，形成完整的绩效管理工作方案和指标考核评估体系。</w:t>
      </w:r>
    </w:p>
    <w:p>
      <w:pPr>
        <w:pStyle w:val="4"/>
        <w:bidi w:val="0"/>
        <w:outlineLvl w:val="1"/>
      </w:pPr>
      <w:bookmarkStart w:id="45" w:name="_Toc20220"/>
      <w:bookmarkStart w:id="46" w:name="_Toc10008"/>
      <w:r>
        <w:rPr>
          <w:rFonts w:hint="eastAsia"/>
        </w:rPr>
        <w:t>6.2、建议</w:t>
      </w:r>
      <w:bookmarkEnd w:id="45"/>
      <w:bookmarkEnd w:id="46"/>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为了进一步提高本部门整体绩效水平，在预算编制和预算执行过程中，提出如下建议：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一）加强培训。建议财政部门多开展部门整体绩效评价工作的业务工作培训，组织开展部门之间、单位之间的经验交流，特别是要组织非财务部门的人员参与评价工作，切实推进绩效评价工作的开展。同时加强单位财务人员对新《预算法》、《政府会计准则》和《政府会计制度》等相关方面的业务培训学习，规范部门预算收支核算，增强预算的约束力和严肃性，真正提升部门绩效管理能力，避免绩效工作流于纸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（二）加大对连云港市</w:t>
      </w:r>
      <w:r>
        <w:rPr>
          <w:rFonts w:hint="eastAsia" w:ascii="宋体" w:hAnsi="宋体" w:cs="宋体"/>
          <w:color w:val="auto"/>
          <w:kern w:val="2"/>
          <w:sz w:val="28"/>
          <w:szCs w:val="24"/>
          <w:lang w:val="en-US" w:eastAsia="zh-CN" w:bidi="ar-SA"/>
        </w:rPr>
        <w:t>散装水泥办公室</w:t>
      </w:r>
      <w:r>
        <w:rPr>
          <w:rFonts w:hint="eastAsia" w:ascii="宋体" w:hAnsi="宋体" w:eastAsia="宋体" w:cs="宋体"/>
          <w:color w:val="auto"/>
          <w:kern w:val="2"/>
          <w:sz w:val="28"/>
          <w:szCs w:val="24"/>
          <w:lang w:val="en-US" w:eastAsia="zh-CN" w:bidi="ar-SA"/>
        </w:rPr>
        <w:t>的预算支持力度，保障业务项目的实施、运行。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8"/>
          <w:szCs w:val="24"/>
          <w:lang w:val="en-US" w:eastAsia="zh-CN" w:bidi="ar-SA"/>
        </w:rPr>
        <w:sectPr>
          <w:footerReference r:id="rId11" w:type="default"/>
          <w:pgSz w:w="11906" w:h="16838"/>
          <w:pgMar w:top="1440" w:right="1800" w:bottom="1440" w:left="1800" w:header="851" w:footer="992" w:gutter="0"/>
          <w:pgNumType w:start="1"/>
          <w:cols w:space="425" w:num="1"/>
          <w:docGrid w:type="lines" w:linePitch="312" w:charSpace="0"/>
        </w:sectPr>
      </w:pPr>
      <w:r>
        <w:rPr>
          <w:rFonts w:hint="eastAsia" w:ascii="宋体" w:hAnsi="宋体" w:eastAsia="宋体" w:cs="宋体"/>
          <w:color w:val="auto"/>
          <w:kern w:val="2"/>
          <w:sz w:val="28"/>
          <w:szCs w:val="24"/>
          <w:lang w:val="en-US" w:eastAsia="zh-CN" w:bidi="ar-SA"/>
        </w:rPr>
        <w:t>（三）建立健全的内控体系，建设符合管理需要的内控信息化系统，实现资金从预算编制、预算执行、会计核算、决算全过程管理。建立预算绩效管理系统，涵盖项目库，实现从项目立项、绩效目标编制、绩效运行监控到绩效评价的全过程管理。</w:t>
      </w:r>
    </w:p>
    <w:p>
      <w:pPr>
        <w:ind w:firstLine="0" w:firstLineChars="0"/>
      </w:pPr>
      <w:bookmarkStart w:id="47" w:name="_Toc6764"/>
      <w:r>
        <w:rPr>
          <w:rFonts w:hint="eastAsia"/>
        </w:rPr>
        <w:t>附：部门整体绩效评价指标评分表</w:t>
      </w:r>
      <w:bookmarkEnd w:id="47"/>
    </w:p>
    <w:tbl>
      <w:tblPr>
        <w:tblStyle w:val="14"/>
        <w:tblpPr w:leftFromText="180" w:rightFromText="180" w:vertAnchor="text" w:horzAnchor="page" w:tblpX="1068" w:tblpY="297"/>
        <w:tblOverlap w:val="never"/>
        <w:tblW w:w="14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10"/>
        <w:gridCol w:w="1010"/>
        <w:gridCol w:w="1262"/>
        <w:gridCol w:w="1091"/>
        <w:gridCol w:w="3099"/>
        <w:gridCol w:w="2431"/>
        <w:gridCol w:w="2672"/>
        <w:gridCol w:w="905"/>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rPr>
        <w:tc>
          <w:tcPr>
            <w:tcW w:w="14280" w:type="dxa"/>
            <w:gridSpan w:val="9"/>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8"/>
                <w:szCs w:val="28"/>
                <w:u w:val="none"/>
              </w:rPr>
            </w:pPr>
            <w:r>
              <w:rPr>
                <w:rFonts w:hint="default" w:ascii="Times New Roman" w:hAnsi="Times New Roman" w:eastAsia="黑体" w:cs="Times New Roman"/>
                <w:b/>
                <w:bCs w:val="0"/>
                <w:i w:val="0"/>
                <w:color w:val="000000"/>
                <w:kern w:val="0"/>
                <w:sz w:val="32"/>
                <w:szCs w:val="32"/>
                <w:u w:val="none"/>
                <w:lang w:val="en-US" w:eastAsia="zh-CN" w:bidi="ar"/>
              </w:rPr>
              <w:t>连云港市</w:t>
            </w:r>
            <w:r>
              <w:rPr>
                <w:rFonts w:hint="eastAsia" w:ascii="Times New Roman" w:hAnsi="Times New Roman" w:eastAsia="黑体" w:cs="Times New Roman"/>
                <w:b/>
                <w:bCs w:val="0"/>
                <w:i w:val="0"/>
                <w:color w:val="000000"/>
                <w:kern w:val="0"/>
                <w:sz w:val="32"/>
                <w:szCs w:val="32"/>
                <w:u w:val="none"/>
                <w:lang w:val="en-US" w:eastAsia="zh-CN" w:bidi="ar"/>
              </w:rPr>
              <w:t>散装水泥办公室</w:t>
            </w:r>
            <w:r>
              <w:rPr>
                <w:rFonts w:hint="default" w:ascii="Times New Roman" w:hAnsi="Times New Roman" w:eastAsia="黑体" w:cs="Times New Roman"/>
                <w:b/>
                <w:bCs w:val="0"/>
                <w:i w:val="0"/>
                <w:color w:val="000000"/>
                <w:kern w:val="0"/>
                <w:sz w:val="32"/>
                <w:szCs w:val="32"/>
                <w:u w:val="none"/>
                <w:lang w:val="en-US" w:eastAsia="zh-CN" w:bidi="ar"/>
              </w:rPr>
              <w:t>部门整体绩效评价</w:t>
            </w:r>
            <w:r>
              <w:rPr>
                <w:rFonts w:hint="eastAsia" w:ascii="Times New Roman" w:hAnsi="Times New Roman" w:eastAsia="黑体" w:cs="Times New Roman"/>
                <w:b/>
                <w:bCs w:val="0"/>
                <w:i w:val="0"/>
                <w:color w:val="000000"/>
                <w:kern w:val="0"/>
                <w:sz w:val="32"/>
                <w:szCs w:val="32"/>
                <w:u w:val="none"/>
                <w:lang w:val="en-US" w:eastAsia="zh-CN" w:bidi="ar"/>
              </w:rPr>
              <w:t>指标评分表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1010" w:type="dxa"/>
            <w:shd w:val="clear" w:color="auto" w:fill="D7D7D7"/>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i w:val="0"/>
                <w:color w:val="000000"/>
                <w:kern w:val="0"/>
                <w:sz w:val="21"/>
                <w:szCs w:val="21"/>
                <w:u w:val="none"/>
                <w:lang w:val="en-US" w:eastAsia="zh-CN" w:bidi="ar"/>
              </w:rPr>
            </w:pPr>
            <w:r>
              <w:rPr>
                <w:rFonts w:hint="default" w:ascii="Times New Roman" w:hAnsi="Times New Roman" w:eastAsia="宋体" w:cs="Times New Roman"/>
                <w:b/>
                <w:i w:val="0"/>
                <w:color w:val="000000"/>
                <w:kern w:val="0"/>
                <w:sz w:val="21"/>
                <w:szCs w:val="21"/>
                <w:u w:val="none"/>
                <w:lang w:val="en-US" w:eastAsia="zh-CN" w:bidi="ar"/>
              </w:rPr>
              <w:t>一级</w:t>
            </w:r>
          </w:p>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指标</w:t>
            </w:r>
          </w:p>
        </w:tc>
        <w:tc>
          <w:tcPr>
            <w:tcW w:w="1010" w:type="dxa"/>
            <w:shd w:val="clear" w:color="auto" w:fill="D7D7D7"/>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i w:val="0"/>
                <w:color w:val="000000"/>
                <w:kern w:val="0"/>
                <w:sz w:val="21"/>
                <w:szCs w:val="21"/>
                <w:u w:val="none"/>
                <w:lang w:val="en-US" w:eastAsia="zh-CN" w:bidi="ar"/>
              </w:rPr>
            </w:pPr>
            <w:r>
              <w:rPr>
                <w:rFonts w:hint="default" w:ascii="Times New Roman" w:hAnsi="Times New Roman" w:eastAsia="宋体" w:cs="Times New Roman"/>
                <w:b/>
                <w:i w:val="0"/>
                <w:color w:val="000000"/>
                <w:kern w:val="0"/>
                <w:sz w:val="21"/>
                <w:szCs w:val="21"/>
                <w:u w:val="none"/>
                <w:lang w:val="en-US" w:eastAsia="zh-CN" w:bidi="ar"/>
              </w:rPr>
              <w:t>二级</w:t>
            </w:r>
          </w:p>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指标</w:t>
            </w:r>
          </w:p>
        </w:tc>
        <w:tc>
          <w:tcPr>
            <w:tcW w:w="1262" w:type="dxa"/>
            <w:shd w:val="clear" w:color="auto" w:fill="D7D7D7"/>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i w:val="0"/>
                <w:color w:val="000000"/>
                <w:kern w:val="0"/>
                <w:sz w:val="21"/>
                <w:szCs w:val="21"/>
                <w:u w:val="none"/>
                <w:lang w:val="en-US" w:eastAsia="zh-CN" w:bidi="ar"/>
              </w:rPr>
            </w:pPr>
            <w:r>
              <w:rPr>
                <w:rFonts w:hint="default" w:ascii="Times New Roman" w:hAnsi="Times New Roman" w:eastAsia="宋体" w:cs="Times New Roman"/>
                <w:b/>
                <w:i w:val="0"/>
                <w:color w:val="000000"/>
                <w:kern w:val="0"/>
                <w:sz w:val="21"/>
                <w:szCs w:val="21"/>
                <w:u w:val="none"/>
                <w:lang w:val="en-US" w:eastAsia="zh-CN" w:bidi="ar"/>
              </w:rPr>
              <w:t>三级</w:t>
            </w:r>
          </w:p>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指标</w:t>
            </w:r>
          </w:p>
        </w:tc>
        <w:tc>
          <w:tcPr>
            <w:tcW w:w="1091" w:type="dxa"/>
            <w:shd w:val="clear" w:color="auto" w:fill="D7D7D7"/>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标准值</w:t>
            </w:r>
          </w:p>
        </w:tc>
        <w:tc>
          <w:tcPr>
            <w:tcW w:w="3099" w:type="dxa"/>
            <w:shd w:val="clear" w:color="auto" w:fill="D7D7D7"/>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指标说明</w:t>
            </w:r>
          </w:p>
        </w:tc>
        <w:tc>
          <w:tcPr>
            <w:tcW w:w="2431" w:type="dxa"/>
            <w:shd w:val="clear" w:color="auto" w:fill="D7D7D7"/>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评分标准</w:t>
            </w:r>
          </w:p>
        </w:tc>
        <w:tc>
          <w:tcPr>
            <w:tcW w:w="2672" w:type="dxa"/>
            <w:shd w:val="clear" w:color="auto" w:fill="D7D7D7"/>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目标值来源</w:t>
            </w:r>
          </w:p>
        </w:tc>
        <w:tc>
          <w:tcPr>
            <w:tcW w:w="905" w:type="dxa"/>
            <w:shd w:val="clear" w:color="auto" w:fill="D7D7D7"/>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分值</w:t>
            </w:r>
          </w:p>
        </w:tc>
        <w:tc>
          <w:tcPr>
            <w:tcW w:w="800" w:type="dxa"/>
            <w:shd w:val="clear" w:color="auto" w:fill="D7D7D7"/>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81" w:hRule="atLeast"/>
        </w:trPr>
        <w:tc>
          <w:tcPr>
            <w:tcW w:w="1010" w:type="dxa"/>
            <w:vMerge w:val="restart"/>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内部</w:t>
            </w:r>
          </w:p>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管理</w:t>
            </w:r>
          </w:p>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eastAsia" w:ascii="Times New Roman" w:hAnsi="Times New Roman" w:eastAsia="宋体" w:cs="Times New Roman"/>
                <w:i w:val="0"/>
                <w:color w:val="000000"/>
                <w:kern w:val="0"/>
                <w:sz w:val="21"/>
                <w:szCs w:val="21"/>
                <w:u w:val="none"/>
                <w:lang w:val="en-US" w:eastAsia="zh-CN" w:bidi="ar"/>
              </w:rPr>
              <w:t>(30</w:t>
            </w:r>
            <w:r>
              <w:rPr>
                <w:rFonts w:hint="default" w:ascii="Times New Roman" w:hAnsi="Times New Roman" w:eastAsia="宋体" w:cs="Times New Roman"/>
                <w:i w:val="0"/>
                <w:color w:val="000000"/>
                <w:kern w:val="0"/>
                <w:sz w:val="21"/>
                <w:szCs w:val="21"/>
                <w:u w:val="none"/>
                <w:lang w:val="en-US" w:eastAsia="zh-CN" w:bidi="ar"/>
              </w:rPr>
              <w:t>分）</w:t>
            </w:r>
          </w:p>
          <w:p>
            <w:pPr>
              <w:jc w:val="both"/>
              <w:rPr>
                <w:rFonts w:hint="default" w:ascii="Times New Roman" w:hAnsi="Times New Roman" w:eastAsia="宋体" w:cs="Times New Roman"/>
                <w:i w:val="0"/>
                <w:color w:val="000000"/>
                <w:sz w:val="21"/>
                <w:szCs w:val="21"/>
                <w:u w:val="none"/>
              </w:rPr>
            </w:pPr>
          </w:p>
          <w:p>
            <w:pPr>
              <w:jc w:val="center"/>
              <w:rPr>
                <w:rFonts w:hint="default" w:ascii="Times New Roman" w:hAnsi="Times New Roman" w:eastAsia="宋体" w:cs="Times New Roman"/>
                <w:i w:val="0"/>
                <w:color w:val="000000"/>
                <w:sz w:val="21"/>
                <w:szCs w:val="21"/>
                <w:u w:val="none"/>
              </w:rPr>
            </w:pPr>
          </w:p>
        </w:tc>
        <w:tc>
          <w:tcPr>
            <w:tcW w:w="1010" w:type="dxa"/>
            <w:vMerge w:val="restart"/>
            <w:noWrap w:val="0"/>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决策</w:t>
            </w:r>
          </w:p>
          <w:p>
            <w:pPr>
              <w:keepNext w:val="0"/>
              <w:keepLines w:val="0"/>
              <w:widowControl/>
              <w:suppressLineNumbers w:val="0"/>
              <w:ind w:left="0" w:leftChars="0" w:firstLine="0" w:firstLineChars="0"/>
              <w:jc w:val="both"/>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管理</w:t>
            </w:r>
          </w:p>
          <w:p>
            <w:pPr>
              <w:keepNext w:val="0"/>
              <w:keepLines w:val="0"/>
              <w:widowControl/>
              <w:suppressLineNumbers w:val="0"/>
              <w:ind w:left="0" w:leftChars="0" w:firstLine="0" w:firstLineChars="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w:t>
            </w:r>
            <w:r>
              <w:rPr>
                <w:rFonts w:hint="eastAsia" w:ascii="Times New Roman" w:hAnsi="Times New Roman" w:eastAsia="宋体" w:cs="Times New Roman"/>
                <w:i w:val="0"/>
                <w:color w:val="000000"/>
                <w:kern w:val="0"/>
                <w:sz w:val="21"/>
                <w:szCs w:val="21"/>
                <w:u w:val="none"/>
                <w:lang w:val="en-US" w:eastAsia="zh-CN" w:bidi="ar"/>
              </w:rPr>
              <w:t>4</w:t>
            </w:r>
            <w:r>
              <w:rPr>
                <w:rFonts w:hint="default" w:ascii="Times New Roman" w:hAnsi="Times New Roman" w:eastAsia="宋体" w:cs="Times New Roman"/>
                <w:i w:val="0"/>
                <w:color w:val="000000"/>
                <w:kern w:val="0"/>
                <w:sz w:val="21"/>
                <w:szCs w:val="21"/>
                <w:u w:val="none"/>
                <w:lang w:val="en-US" w:eastAsia="zh-CN" w:bidi="ar"/>
              </w:rPr>
              <w:t>分）</w:t>
            </w:r>
          </w:p>
        </w:tc>
        <w:tc>
          <w:tcPr>
            <w:tcW w:w="1262"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中长期规划</w:t>
            </w:r>
          </w:p>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kern w:val="0"/>
                <w:sz w:val="21"/>
                <w:szCs w:val="21"/>
                <w:u w:val="none"/>
                <w:lang w:val="en-US" w:eastAsia="zh-CN" w:bidi="ar"/>
              </w:rPr>
              <w:t>（</w:t>
            </w: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分）</w:t>
            </w:r>
          </w:p>
        </w:tc>
        <w:tc>
          <w:tcPr>
            <w:tcW w:w="1091"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健全</w:t>
            </w:r>
          </w:p>
        </w:tc>
        <w:tc>
          <w:tcPr>
            <w:tcW w:w="3099"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考察部门是否具有</w:t>
            </w:r>
            <w:r>
              <w:rPr>
                <w:rFonts w:hint="default" w:ascii="Times New Roman" w:hAnsi="Times New Roman" w:eastAsia="宋体" w:cs="Times New Roman"/>
                <w:i w:val="0"/>
                <w:color w:val="000000"/>
                <w:kern w:val="0"/>
                <w:sz w:val="21"/>
                <w:szCs w:val="21"/>
                <w:highlight w:val="none"/>
                <w:u w:val="none"/>
                <w:lang w:val="en-US" w:eastAsia="zh-CN" w:bidi="ar"/>
              </w:rPr>
              <w:t>明确的</w:t>
            </w:r>
            <w:r>
              <w:rPr>
                <w:rFonts w:hint="eastAsia" w:ascii="Times New Roman" w:hAnsi="Times New Roman" w:eastAsia="宋体" w:cs="Times New Roman"/>
                <w:i w:val="0"/>
                <w:color w:val="000000"/>
                <w:kern w:val="0"/>
                <w:sz w:val="21"/>
                <w:szCs w:val="21"/>
                <w:highlight w:val="none"/>
                <w:u w:val="none"/>
                <w:lang w:val="en-US" w:eastAsia="zh-CN" w:bidi="ar"/>
              </w:rPr>
              <w:t>战</w:t>
            </w:r>
            <w:r>
              <w:rPr>
                <w:rFonts w:hint="default" w:ascii="Times New Roman" w:hAnsi="Times New Roman" w:eastAsia="宋体" w:cs="Times New Roman"/>
                <w:i w:val="0"/>
                <w:color w:val="000000"/>
                <w:kern w:val="0"/>
                <w:sz w:val="21"/>
                <w:szCs w:val="21"/>
                <w:highlight w:val="none"/>
                <w:u w:val="none"/>
                <w:lang w:val="en-US" w:eastAsia="zh-CN" w:bidi="ar"/>
              </w:rPr>
              <w:t>略规划</w:t>
            </w:r>
            <w:r>
              <w:rPr>
                <w:rFonts w:hint="default" w:ascii="Times New Roman" w:hAnsi="Times New Roman" w:eastAsia="宋体" w:cs="Times New Roman"/>
                <w:i w:val="0"/>
                <w:color w:val="000000"/>
                <w:kern w:val="0"/>
                <w:sz w:val="21"/>
                <w:szCs w:val="21"/>
                <w:u w:val="none"/>
                <w:lang w:val="en-US" w:eastAsia="zh-CN" w:bidi="ar"/>
              </w:rPr>
              <w:t>，及战略规划的完整性。</w:t>
            </w:r>
          </w:p>
        </w:tc>
        <w:tc>
          <w:tcPr>
            <w:tcW w:w="2431"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明确完整记</w:t>
            </w: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分，不明确扣1分，不完整扣1分。</w:t>
            </w:r>
          </w:p>
        </w:tc>
        <w:tc>
          <w:tcPr>
            <w:tcW w:w="2672"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签署的目标责任状</w:t>
            </w:r>
          </w:p>
        </w:tc>
        <w:tc>
          <w:tcPr>
            <w:tcW w:w="905"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eastAsia="宋体" w:cs="Times New Roman"/>
                <w:i w:val="0"/>
                <w:color w:val="000000"/>
                <w:sz w:val="21"/>
                <w:szCs w:val="21"/>
                <w:u w:val="none"/>
                <w:lang w:val="en-US" w:eastAsia="zh-CN"/>
              </w:rPr>
              <w:t>2</w:t>
            </w:r>
          </w:p>
        </w:tc>
        <w:tc>
          <w:tcPr>
            <w:tcW w:w="800"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cs="Times New Roman"/>
                <w:i w:val="0"/>
                <w:color w:val="000000"/>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33" w:hRule="atLeast"/>
        </w:trPr>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262"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年度工作计划（</w:t>
            </w: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分）</w:t>
            </w:r>
          </w:p>
        </w:tc>
        <w:tc>
          <w:tcPr>
            <w:tcW w:w="1091"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健全</w:t>
            </w:r>
          </w:p>
        </w:tc>
        <w:tc>
          <w:tcPr>
            <w:tcW w:w="3099"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①部门整体及各科室、具有年度工作计划；②再根据年度工作计划对总体目标、计划实施内容、时间安排、资金安排、人员安排有明确安排。</w:t>
            </w:r>
          </w:p>
        </w:tc>
        <w:tc>
          <w:tcPr>
            <w:tcW w:w="2431"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实施内容、时间安排、资金安排、人员安排有明确安排。记</w:t>
            </w: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分，缺一项扣1分。</w:t>
            </w:r>
          </w:p>
        </w:tc>
        <w:tc>
          <w:tcPr>
            <w:tcW w:w="2672"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签署的目标责任状</w:t>
            </w:r>
          </w:p>
        </w:tc>
        <w:tc>
          <w:tcPr>
            <w:tcW w:w="905"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eastAsia="宋体" w:cs="Times New Roman"/>
                <w:i w:val="0"/>
                <w:color w:val="000000"/>
                <w:sz w:val="21"/>
                <w:szCs w:val="21"/>
                <w:u w:val="none"/>
                <w:lang w:val="en-US" w:eastAsia="zh-CN"/>
              </w:rPr>
              <w:t>2</w:t>
            </w:r>
          </w:p>
        </w:tc>
        <w:tc>
          <w:tcPr>
            <w:tcW w:w="800"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cs="Times New Roman"/>
                <w:i w:val="0"/>
                <w:color w:val="000000"/>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6" w:hRule="atLeast"/>
        </w:trPr>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010" w:type="dxa"/>
            <w:vMerge w:val="restart"/>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人员</w:t>
            </w:r>
          </w:p>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管理</w:t>
            </w:r>
          </w:p>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w:t>
            </w:r>
            <w:r>
              <w:rPr>
                <w:rFonts w:hint="eastAsia" w:ascii="Times New Roman" w:hAnsi="Times New Roman" w:eastAsia="宋体" w:cs="Times New Roman"/>
                <w:i w:val="0"/>
                <w:color w:val="000000"/>
                <w:kern w:val="0"/>
                <w:sz w:val="21"/>
                <w:szCs w:val="21"/>
                <w:u w:val="none"/>
                <w:lang w:val="en-US" w:eastAsia="zh-CN" w:bidi="ar"/>
              </w:rPr>
              <w:t>6</w:t>
            </w:r>
            <w:r>
              <w:rPr>
                <w:rFonts w:hint="default" w:ascii="Times New Roman" w:hAnsi="Times New Roman" w:eastAsia="宋体" w:cs="Times New Roman"/>
                <w:i w:val="0"/>
                <w:color w:val="000000"/>
                <w:kern w:val="0"/>
                <w:sz w:val="21"/>
                <w:szCs w:val="21"/>
                <w:u w:val="none"/>
                <w:lang w:val="en-US" w:eastAsia="zh-CN" w:bidi="ar"/>
              </w:rPr>
              <w:t>分）</w:t>
            </w:r>
          </w:p>
        </w:tc>
        <w:tc>
          <w:tcPr>
            <w:tcW w:w="1262"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sz w:val="21"/>
                <w:szCs w:val="21"/>
                <w:u w:val="none"/>
              </w:rPr>
              <w:t>财政供养人员控制情况</w:t>
            </w:r>
            <w:r>
              <w:rPr>
                <w:rFonts w:hint="default" w:ascii="Times New Roman" w:hAnsi="Times New Roman" w:eastAsia="宋体" w:cs="Times New Roman"/>
                <w:i w:val="0"/>
                <w:color w:val="000000"/>
                <w:sz w:val="21"/>
                <w:szCs w:val="21"/>
                <w:u w:val="none"/>
                <w:lang w:val="en-US" w:eastAsia="zh-CN"/>
              </w:rPr>
              <w:t xml:space="preserve">    </w:t>
            </w:r>
            <w:r>
              <w:rPr>
                <w:rFonts w:hint="default" w:ascii="Times New Roman" w:hAnsi="Times New Roman" w:eastAsia="宋体" w:cs="Times New Roman"/>
                <w:i w:val="0"/>
                <w:color w:val="000000"/>
                <w:sz w:val="21"/>
                <w:szCs w:val="21"/>
                <w:u w:val="none"/>
                <w:lang w:eastAsia="zh-CN"/>
              </w:rPr>
              <w:t>（</w:t>
            </w:r>
            <w:r>
              <w:rPr>
                <w:rFonts w:hint="eastAsia" w:ascii="Times New Roman" w:hAnsi="Times New Roman" w:eastAsia="宋体" w:cs="Times New Roman"/>
                <w:i w:val="0"/>
                <w:color w:val="000000"/>
                <w:sz w:val="21"/>
                <w:szCs w:val="21"/>
                <w:u w:val="none"/>
                <w:lang w:val="en-US" w:eastAsia="zh-CN"/>
              </w:rPr>
              <w:t>2</w:t>
            </w:r>
            <w:r>
              <w:rPr>
                <w:rFonts w:hint="default" w:ascii="Times New Roman" w:hAnsi="Times New Roman" w:eastAsia="宋体" w:cs="Times New Roman"/>
                <w:i w:val="0"/>
                <w:color w:val="000000"/>
                <w:sz w:val="21"/>
                <w:szCs w:val="21"/>
                <w:u w:val="none"/>
                <w:lang w:val="en-US" w:eastAsia="zh-CN"/>
              </w:rPr>
              <w:t>分</w:t>
            </w:r>
            <w:r>
              <w:rPr>
                <w:rFonts w:hint="default" w:ascii="Times New Roman" w:hAnsi="Times New Roman" w:eastAsia="宋体" w:cs="Times New Roman"/>
                <w:i w:val="0"/>
                <w:color w:val="000000"/>
                <w:sz w:val="21"/>
                <w:szCs w:val="21"/>
                <w:u w:val="none"/>
                <w:lang w:eastAsia="zh-CN"/>
              </w:rPr>
              <w:t>）</w:t>
            </w:r>
          </w:p>
        </w:tc>
        <w:tc>
          <w:tcPr>
            <w:tcW w:w="1091"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合规</w:t>
            </w:r>
          </w:p>
        </w:tc>
        <w:tc>
          <w:tcPr>
            <w:tcW w:w="3099"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在编人员数不超过编制数。</w:t>
            </w:r>
          </w:p>
        </w:tc>
        <w:tc>
          <w:tcPr>
            <w:tcW w:w="2431"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编制数合规记</w:t>
            </w: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分，</w:t>
            </w:r>
          </w:p>
          <w:p>
            <w:pPr>
              <w:keepNext w:val="0"/>
              <w:keepLines w:val="0"/>
              <w:widowControl/>
              <w:suppressLineNumbers w:val="0"/>
              <w:jc w:val="left"/>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超过不得分。</w:t>
            </w:r>
          </w:p>
        </w:tc>
        <w:tc>
          <w:tcPr>
            <w:tcW w:w="2672"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办公室相关管理规章制度</w:t>
            </w:r>
          </w:p>
        </w:tc>
        <w:tc>
          <w:tcPr>
            <w:tcW w:w="905"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eastAsia="宋体" w:cs="Times New Roman"/>
                <w:i w:val="0"/>
                <w:color w:val="000000"/>
                <w:sz w:val="21"/>
                <w:szCs w:val="21"/>
                <w:u w:val="none"/>
                <w:lang w:val="en-US" w:eastAsia="zh-CN"/>
              </w:rPr>
              <w:t>2</w:t>
            </w:r>
          </w:p>
        </w:tc>
        <w:tc>
          <w:tcPr>
            <w:tcW w:w="800"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eastAsia="宋体" w:cs="Times New Roman"/>
                <w:i w:val="0"/>
                <w:color w:val="000000"/>
                <w:sz w:val="21"/>
                <w:szCs w:val="21"/>
                <w:u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3" w:hRule="atLeast"/>
        </w:trPr>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262"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人事管理制度建设</w:t>
            </w:r>
            <w:r>
              <w:rPr>
                <w:rFonts w:hint="default" w:ascii="Times New Roman" w:hAnsi="Times New Roman" w:eastAsia="宋体" w:cs="Times New Roman"/>
                <w:i w:val="0"/>
                <w:color w:val="000000"/>
                <w:sz w:val="21"/>
                <w:szCs w:val="21"/>
                <w:u w:val="none"/>
                <w:lang w:eastAsia="zh-CN"/>
              </w:rPr>
              <w:t>（</w:t>
            </w:r>
            <w:r>
              <w:rPr>
                <w:rFonts w:hint="eastAsia" w:ascii="Times New Roman" w:hAnsi="Times New Roman" w:eastAsia="宋体" w:cs="Times New Roman"/>
                <w:i w:val="0"/>
                <w:color w:val="000000"/>
                <w:sz w:val="21"/>
                <w:szCs w:val="21"/>
                <w:u w:val="none"/>
                <w:lang w:val="en-US" w:eastAsia="zh-CN"/>
              </w:rPr>
              <w:t>2</w:t>
            </w:r>
            <w:r>
              <w:rPr>
                <w:rFonts w:hint="default" w:ascii="Times New Roman" w:hAnsi="Times New Roman" w:eastAsia="宋体" w:cs="Times New Roman"/>
                <w:i w:val="0"/>
                <w:color w:val="000000"/>
                <w:sz w:val="21"/>
                <w:szCs w:val="21"/>
                <w:u w:val="none"/>
                <w:lang w:val="en-US" w:eastAsia="zh-CN"/>
              </w:rPr>
              <w:t>分</w:t>
            </w:r>
            <w:r>
              <w:rPr>
                <w:rFonts w:hint="default" w:ascii="Times New Roman" w:hAnsi="Times New Roman" w:eastAsia="宋体" w:cs="Times New Roman"/>
                <w:i w:val="0"/>
                <w:color w:val="000000"/>
                <w:sz w:val="21"/>
                <w:szCs w:val="21"/>
                <w:u w:val="none"/>
                <w:lang w:eastAsia="zh-CN"/>
              </w:rPr>
              <w:t>）</w:t>
            </w:r>
          </w:p>
        </w:tc>
        <w:tc>
          <w:tcPr>
            <w:tcW w:w="1091"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健全</w:t>
            </w:r>
          </w:p>
        </w:tc>
        <w:tc>
          <w:tcPr>
            <w:tcW w:w="3099"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考察是否建立相关人事管理及考核办法，及具体实施情况。</w:t>
            </w:r>
          </w:p>
        </w:tc>
        <w:tc>
          <w:tcPr>
            <w:tcW w:w="2431"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健全，记</w:t>
            </w: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分，缺1项扣1分，扣完为止。</w:t>
            </w:r>
          </w:p>
        </w:tc>
        <w:tc>
          <w:tcPr>
            <w:tcW w:w="2672"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办公室相关管理规章制度</w:t>
            </w:r>
          </w:p>
        </w:tc>
        <w:tc>
          <w:tcPr>
            <w:tcW w:w="905"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eastAsia="宋体" w:cs="Times New Roman"/>
                <w:i w:val="0"/>
                <w:color w:val="000000"/>
                <w:sz w:val="21"/>
                <w:szCs w:val="21"/>
                <w:u w:val="none"/>
                <w:lang w:val="en-US" w:eastAsia="zh-CN"/>
              </w:rPr>
              <w:t>2</w:t>
            </w:r>
          </w:p>
        </w:tc>
        <w:tc>
          <w:tcPr>
            <w:tcW w:w="800"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cs="Times New Roman"/>
                <w:i w:val="0"/>
                <w:color w:val="000000"/>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43" w:hRule="atLeast"/>
        </w:trPr>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262"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工作人员学习与培训</w:t>
            </w:r>
            <w:r>
              <w:rPr>
                <w:rFonts w:hint="default" w:ascii="Times New Roman" w:hAnsi="Times New Roman" w:eastAsia="宋体" w:cs="Times New Roman"/>
                <w:i w:val="0"/>
                <w:color w:val="000000"/>
                <w:sz w:val="21"/>
                <w:szCs w:val="21"/>
                <w:u w:val="none"/>
                <w:lang w:eastAsia="zh-CN"/>
              </w:rPr>
              <w:t>（</w:t>
            </w:r>
            <w:r>
              <w:rPr>
                <w:rFonts w:hint="eastAsia" w:ascii="Times New Roman" w:hAnsi="Times New Roman" w:eastAsia="宋体" w:cs="Times New Roman"/>
                <w:i w:val="0"/>
                <w:color w:val="000000"/>
                <w:sz w:val="21"/>
                <w:szCs w:val="21"/>
                <w:u w:val="none"/>
                <w:lang w:val="en-US" w:eastAsia="zh-CN"/>
              </w:rPr>
              <w:t>2</w:t>
            </w:r>
            <w:r>
              <w:rPr>
                <w:rFonts w:hint="default" w:ascii="Times New Roman" w:hAnsi="Times New Roman" w:eastAsia="宋体" w:cs="Times New Roman"/>
                <w:i w:val="0"/>
                <w:color w:val="000000"/>
                <w:sz w:val="21"/>
                <w:szCs w:val="21"/>
                <w:u w:val="none"/>
                <w:lang w:val="en-US" w:eastAsia="zh-CN"/>
              </w:rPr>
              <w:t>分</w:t>
            </w:r>
            <w:r>
              <w:rPr>
                <w:rFonts w:hint="default" w:ascii="Times New Roman" w:hAnsi="Times New Roman" w:eastAsia="宋体" w:cs="Times New Roman"/>
                <w:i w:val="0"/>
                <w:color w:val="000000"/>
                <w:sz w:val="21"/>
                <w:szCs w:val="21"/>
                <w:u w:val="none"/>
                <w:lang w:eastAsia="zh-CN"/>
              </w:rPr>
              <w:t>）</w:t>
            </w:r>
          </w:p>
        </w:tc>
        <w:tc>
          <w:tcPr>
            <w:tcW w:w="1091"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达标</w:t>
            </w:r>
          </w:p>
        </w:tc>
        <w:tc>
          <w:tcPr>
            <w:tcW w:w="3099"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考察是否按照年度计划要求学习和管理培训及进行具体实施情况。</w:t>
            </w:r>
          </w:p>
        </w:tc>
        <w:tc>
          <w:tcPr>
            <w:tcW w:w="2431"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按照年度计划完成记</w:t>
            </w: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分，少1次扣1分，扣完为止。</w:t>
            </w:r>
          </w:p>
        </w:tc>
        <w:tc>
          <w:tcPr>
            <w:tcW w:w="2672"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办公室相关管理规章制度</w:t>
            </w:r>
          </w:p>
        </w:tc>
        <w:tc>
          <w:tcPr>
            <w:tcW w:w="905"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eastAsia="宋体" w:cs="Times New Roman"/>
                <w:i w:val="0"/>
                <w:color w:val="000000"/>
                <w:sz w:val="21"/>
                <w:szCs w:val="21"/>
                <w:u w:val="none"/>
                <w:lang w:val="en-US" w:eastAsia="zh-CN"/>
              </w:rPr>
              <w:t>2</w:t>
            </w:r>
          </w:p>
        </w:tc>
        <w:tc>
          <w:tcPr>
            <w:tcW w:w="800"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cs="Times New Roman"/>
                <w:i w:val="0"/>
                <w:color w:val="000000"/>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8" w:hRule="atLeast"/>
        </w:trPr>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010" w:type="dxa"/>
            <w:vMerge w:val="restart"/>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p>
            <w:pPr>
              <w:ind w:left="0" w:leftChars="0" w:firstLine="0" w:firstLineChars="0"/>
              <w:jc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资金及资产管理</w:t>
            </w:r>
          </w:p>
          <w:p>
            <w:pPr>
              <w:ind w:left="0" w:leftChars="0" w:firstLine="0" w:firstLineChars="0"/>
              <w:jc w:val="center"/>
              <w:rPr>
                <w:rFonts w:hint="default" w:ascii="Times New Roman" w:hAnsi="Times New Roman" w:eastAsia="宋体" w:cs="Times New Roman"/>
                <w:i w:val="0"/>
                <w:color w:val="000000"/>
                <w:sz w:val="21"/>
                <w:szCs w:val="21"/>
                <w:u w:val="none"/>
                <w:lang w:eastAsia="zh-CN"/>
              </w:rPr>
            </w:pPr>
            <w:r>
              <w:rPr>
                <w:rFonts w:hint="eastAsia" w:ascii="Times New Roman" w:hAnsi="Times New Roman" w:eastAsia="宋体" w:cs="Times New Roman"/>
                <w:i w:val="0"/>
                <w:color w:val="000000"/>
                <w:sz w:val="21"/>
                <w:szCs w:val="21"/>
                <w:u w:val="none"/>
                <w:lang w:val="en-US" w:eastAsia="zh-CN"/>
              </w:rPr>
              <w:t>(</w:t>
            </w:r>
            <w:r>
              <w:rPr>
                <w:rFonts w:hint="default" w:ascii="Times New Roman" w:hAnsi="Times New Roman" w:eastAsia="宋体" w:cs="Times New Roman"/>
                <w:i w:val="0"/>
                <w:color w:val="000000"/>
                <w:sz w:val="21"/>
                <w:szCs w:val="21"/>
                <w:u w:val="none"/>
                <w:lang w:val="en-US" w:eastAsia="zh-CN"/>
              </w:rPr>
              <w:t>10分</w:t>
            </w:r>
            <w:r>
              <w:rPr>
                <w:rFonts w:hint="default" w:ascii="Times New Roman" w:hAnsi="Times New Roman" w:eastAsia="宋体" w:cs="Times New Roman"/>
                <w:i w:val="0"/>
                <w:color w:val="000000"/>
                <w:sz w:val="21"/>
                <w:szCs w:val="21"/>
                <w:u w:val="none"/>
                <w:lang w:eastAsia="zh-CN"/>
              </w:rPr>
              <w:t>）</w:t>
            </w:r>
          </w:p>
        </w:tc>
        <w:tc>
          <w:tcPr>
            <w:tcW w:w="1262"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财务管理规范性</w:t>
            </w:r>
            <w:r>
              <w:rPr>
                <w:rFonts w:hint="default" w:ascii="Times New Roman" w:hAnsi="Times New Roman" w:eastAsia="宋体" w:cs="Times New Roman"/>
                <w:i w:val="0"/>
                <w:color w:val="000000"/>
                <w:sz w:val="21"/>
                <w:szCs w:val="21"/>
                <w:u w:val="none"/>
                <w:lang w:eastAsia="zh-CN"/>
              </w:rPr>
              <w:t>（</w:t>
            </w:r>
            <w:r>
              <w:rPr>
                <w:rFonts w:hint="default" w:ascii="Times New Roman" w:hAnsi="Times New Roman" w:eastAsia="宋体" w:cs="Times New Roman"/>
                <w:i w:val="0"/>
                <w:color w:val="000000"/>
                <w:sz w:val="21"/>
                <w:szCs w:val="21"/>
                <w:u w:val="none"/>
                <w:lang w:val="en-US" w:eastAsia="zh-CN"/>
              </w:rPr>
              <w:t>2分</w:t>
            </w:r>
            <w:r>
              <w:rPr>
                <w:rFonts w:hint="default" w:ascii="Times New Roman" w:hAnsi="Times New Roman" w:eastAsia="宋体" w:cs="Times New Roman"/>
                <w:i w:val="0"/>
                <w:color w:val="000000"/>
                <w:sz w:val="21"/>
                <w:szCs w:val="21"/>
                <w:u w:val="none"/>
                <w:lang w:eastAsia="zh-CN"/>
              </w:rPr>
              <w:t>）</w:t>
            </w:r>
          </w:p>
        </w:tc>
        <w:tc>
          <w:tcPr>
            <w:tcW w:w="1091"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规范</w:t>
            </w:r>
          </w:p>
        </w:tc>
        <w:tc>
          <w:tcPr>
            <w:tcW w:w="3099"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考察执行财务管理制度是否规范。</w:t>
            </w:r>
          </w:p>
        </w:tc>
        <w:tc>
          <w:tcPr>
            <w:tcW w:w="2431"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规范记2分，1项不规范扣1分，扣完为止。</w:t>
            </w:r>
          </w:p>
        </w:tc>
        <w:tc>
          <w:tcPr>
            <w:tcW w:w="2672"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政府会计制度</w:t>
            </w:r>
          </w:p>
        </w:tc>
        <w:tc>
          <w:tcPr>
            <w:tcW w:w="905"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default" w:ascii="Times New Roman" w:hAnsi="Times New Roman" w:eastAsia="宋体" w:cs="Times New Roman"/>
                <w:i w:val="0"/>
                <w:color w:val="000000"/>
                <w:sz w:val="21"/>
                <w:szCs w:val="21"/>
                <w:u w:val="none"/>
                <w:lang w:val="en-US" w:eastAsia="zh-CN"/>
              </w:rPr>
              <w:t>2</w:t>
            </w:r>
          </w:p>
        </w:tc>
        <w:tc>
          <w:tcPr>
            <w:tcW w:w="800"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default" w:ascii="Times New Roman" w:hAnsi="Times New Roman" w:cs="Times New Roman"/>
                <w:i w:val="0"/>
                <w:color w:val="000000"/>
                <w:sz w:val="21"/>
                <w:szCs w:val="21"/>
                <w:u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trPr>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262"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支出调整预算执行率</w:t>
            </w:r>
            <w:r>
              <w:rPr>
                <w:rFonts w:hint="default" w:ascii="Times New Roman" w:hAnsi="Times New Roman" w:eastAsia="宋体" w:cs="Times New Roman"/>
                <w:i w:val="0"/>
                <w:color w:val="000000"/>
                <w:sz w:val="21"/>
                <w:szCs w:val="21"/>
                <w:u w:val="none"/>
                <w:lang w:eastAsia="zh-CN"/>
              </w:rPr>
              <w:t>（</w:t>
            </w:r>
            <w:r>
              <w:rPr>
                <w:rFonts w:hint="default" w:ascii="Times New Roman" w:hAnsi="Times New Roman" w:eastAsia="宋体" w:cs="Times New Roman"/>
                <w:i w:val="0"/>
                <w:color w:val="000000"/>
                <w:sz w:val="21"/>
                <w:szCs w:val="21"/>
                <w:u w:val="none"/>
                <w:lang w:val="en-US" w:eastAsia="zh-CN"/>
              </w:rPr>
              <w:t>2分</w:t>
            </w:r>
            <w:r>
              <w:rPr>
                <w:rFonts w:hint="default" w:ascii="Times New Roman" w:hAnsi="Times New Roman" w:eastAsia="宋体" w:cs="Times New Roman"/>
                <w:i w:val="0"/>
                <w:color w:val="000000"/>
                <w:sz w:val="21"/>
                <w:szCs w:val="21"/>
                <w:u w:val="none"/>
                <w:lang w:eastAsia="zh-CN"/>
              </w:rPr>
              <w:t>）</w:t>
            </w:r>
          </w:p>
        </w:tc>
        <w:tc>
          <w:tcPr>
            <w:tcW w:w="1091"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100%</w:t>
            </w:r>
          </w:p>
        </w:tc>
        <w:tc>
          <w:tcPr>
            <w:tcW w:w="3099"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sz w:val="21"/>
                <w:szCs w:val="21"/>
                <w:u w:val="none"/>
                <w:lang w:eastAsia="zh-CN"/>
              </w:rPr>
              <w:t>支出调整预算执行情况。</w:t>
            </w:r>
          </w:p>
        </w:tc>
        <w:tc>
          <w:tcPr>
            <w:tcW w:w="2431"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sz w:val="21"/>
                <w:szCs w:val="21"/>
                <w:u w:val="none"/>
              </w:rPr>
              <w:t>支出调整预算执行率</w:t>
            </w:r>
            <w:r>
              <w:rPr>
                <w:rFonts w:hint="default" w:ascii="Times New Roman" w:hAnsi="Times New Roman" w:eastAsia="宋体" w:cs="Times New Roman"/>
                <w:i w:val="0"/>
                <w:color w:val="000000"/>
                <w:sz w:val="21"/>
                <w:szCs w:val="21"/>
                <w:u w:val="none"/>
                <w:lang w:val="en-US" w:eastAsia="zh-CN"/>
              </w:rPr>
              <w:t>达100%，记2分，低于一个百分点扣1分，扣完为止。</w:t>
            </w:r>
          </w:p>
        </w:tc>
        <w:tc>
          <w:tcPr>
            <w:tcW w:w="2672"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政府会计制度</w:t>
            </w:r>
          </w:p>
        </w:tc>
        <w:tc>
          <w:tcPr>
            <w:tcW w:w="905"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default" w:ascii="Times New Roman" w:hAnsi="Times New Roman" w:eastAsia="宋体" w:cs="Times New Roman"/>
                <w:i w:val="0"/>
                <w:color w:val="000000"/>
                <w:sz w:val="21"/>
                <w:szCs w:val="21"/>
                <w:u w:val="none"/>
                <w:lang w:val="en-US" w:eastAsia="zh-CN"/>
              </w:rPr>
              <w:t>2</w:t>
            </w:r>
          </w:p>
        </w:tc>
        <w:tc>
          <w:tcPr>
            <w:tcW w:w="800"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default" w:ascii="Times New Roman" w:hAnsi="Times New Roman" w:cs="Times New Roman"/>
                <w:i w:val="0"/>
                <w:color w:val="000000"/>
                <w:sz w:val="21"/>
                <w:szCs w:val="21"/>
                <w:u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8" w:hRule="atLeast"/>
        </w:trPr>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262"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专款专用率</w:t>
            </w:r>
            <w:r>
              <w:rPr>
                <w:rFonts w:hint="default" w:ascii="Times New Roman" w:hAnsi="Times New Roman" w:eastAsia="宋体" w:cs="Times New Roman"/>
                <w:i w:val="0"/>
                <w:color w:val="000000"/>
                <w:sz w:val="21"/>
                <w:szCs w:val="21"/>
                <w:u w:val="none"/>
                <w:lang w:val="en-US" w:eastAsia="zh-CN"/>
              </w:rPr>
              <w:t xml:space="preserve">  </w:t>
            </w:r>
            <w:r>
              <w:rPr>
                <w:rFonts w:hint="default" w:ascii="Times New Roman" w:hAnsi="Times New Roman" w:eastAsia="宋体" w:cs="Times New Roman"/>
                <w:i w:val="0"/>
                <w:color w:val="000000"/>
                <w:sz w:val="21"/>
                <w:szCs w:val="21"/>
                <w:u w:val="none"/>
                <w:lang w:eastAsia="zh-CN"/>
              </w:rPr>
              <w:t>（</w:t>
            </w:r>
            <w:r>
              <w:rPr>
                <w:rFonts w:hint="default" w:ascii="Times New Roman" w:hAnsi="Times New Roman" w:eastAsia="宋体" w:cs="Times New Roman"/>
                <w:i w:val="0"/>
                <w:color w:val="000000"/>
                <w:sz w:val="21"/>
                <w:szCs w:val="21"/>
                <w:u w:val="none"/>
                <w:lang w:val="en-US" w:eastAsia="zh-CN"/>
              </w:rPr>
              <w:t>2分</w:t>
            </w:r>
            <w:r>
              <w:rPr>
                <w:rFonts w:hint="default" w:ascii="Times New Roman" w:hAnsi="Times New Roman" w:eastAsia="宋体" w:cs="Times New Roman"/>
                <w:i w:val="0"/>
                <w:color w:val="000000"/>
                <w:sz w:val="21"/>
                <w:szCs w:val="21"/>
                <w:u w:val="none"/>
                <w:lang w:eastAsia="zh-CN"/>
              </w:rPr>
              <w:t>）</w:t>
            </w:r>
          </w:p>
        </w:tc>
        <w:tc>
          <w:tcPr>
            <w:tcW w:w="1091"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100%</w:t>
            </w:r>
          </w:p>
        </w:tc>
        <w:tc>
          <w:tcPr>
            <w:tcW w:w="3099"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sz w:val="21"/>
                <w:szCs w:val="21"/>
                <w:u w:val="none"/>
                <w:lang w:val="en-US" w:eastAsia="zh-CN"/>
              </w:rPr>
              <w:t>专项资金项目率=专项资金项目实际到位项目资金/专项资金项目预算资金。</w:t>
            </w:r>
          </w:p>
        </w:tc>
        <w:tc>
          <w:tcPr>
            <w:tcW w:w="2431"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sz w:val="21"/>
                <w:szCs w:val="21"/>
                <w:u w:val="none"/>
                <w:lang w:val="en-US" w:eastAsia="zh-CN"/>
              </w:rPr>
              <w:t>专项资金项目率达100%，记2分，低于一个百分点扣1分，扣完为止。</w:t>
            </w:r>
          </w:p>
        </w:tc>
        <w:tc>
          <w:tcPr>
            <w:tcW w:w="2672"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政府会计制度</w:t>
            </w:r>
          </w:p>
        </w:tc>
        <w:tc>
          <w:tcPr>
            <w:tcW w:w="905"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default" w:ascii="Times New Roman" w:hAnsi="Times New Roman" w:eastAsia="宋体" w:cs="Times New Roman"/>
                <w:i w:val="0"/>
                <w:color w:val="000000"/>
                <w:sz w:val="21"/>
                <w:szCs w:val="21"/>
                <w:u w:val="none"/>
                <w:lang w:val="en-US" w:eastAsia="zh-CN"/>
              </w:rPr>
              <w:t>2</w:t>
            </w:r>
          </w:p>
        </w:tc>
        <w:tc>
          <w:tcPr>
            <w:tcW w:w="800"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default" w:ascii="Times New Roman" w:hAnsi="Times New Roman" w:cs="Times New Roman"/>
                <w:i w:val="0"/>
                <w:color w:val="000000"/>
                <w:sz w:val="21"/>
                <w:szCs w:val="21"/>
                <w:u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95" w:hRule="atLeast"/>
        </w:trPr>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262"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政府采购情况</w:t>
            </w:r>
            <w:r>
              <w:rPr>
                <w:rFonts w:hint="default" w:ascii="Times New Roman" w:hAnsi="Times New Roman" w:eastAsia="宋体" w:cs="Times New Roman"/>
                <w:i w:val="0"/>
                <w:color w:val="000000"/>
                <w:kern w:val="0"/>
                <w:sz w:val="21"/>
                <w:szCs w:val="21"/>
                <w:u w:val="none"/>
                <w:lang w:val="en-US" w:eastAsia="zh-CN" w:bidi="ar"/>
              </w:rPr>
              <w:t>（</w:t>
            </w: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分）</w:t>
            </w:r>
          </w:p>
        </w:tc>
        <w:tc>
          <w:tcPr>
            <w:tcW w:w="1091"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合规</w:t>
            </w:r>
          </w:p>
        </w:tc>
        <w:tc>
          <w:tcPr>
            <w:tcW w:w="3099"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sz w:val="21"/>
                <w:szCs w:val="21"/>
                <w:highlight w:val="none"/>
                <w:u w:val="none"/>
                <w:lang w:val="en-US" w:eastAsia="zh-CN"/>
              </w:rPr>
              <w:t>按照相关文件</w:t>
            </w:r>
            <w:r>
              <w:rPr>
                <w:rFonts w:hint="eastAsia" w:ascii="Times New Roman" w:hAnsi="Times New Roman" w:eastAsia="宋体" w:cs="Times New Roman"/>
                <w:i w:val="0"/>
                <w:color w:val="000000"/>
                <w:sz w:val="21"/>
                <w:szCs w:val="21"/>
                <w:highlight w:val="none"/>
                <w:u w:val="none"/>
                <w:lang w:val="en-US" w:eastAsia="zh-CN"/>
              </w:rPr>
              <w:t>的</w:t>
            </w:r>
            <w:r>
              <w:rPr>
                <w:rFonts w:hint="default" w:ascii="Times New Roman" w:hAnsi="Times New Roman" w:eastAsia="宋体" w:cs="Times New Roman"/>
                <w:i w:val="0"/>
                <w:color w:val="000000"/>
                <w:sz w:val="21"/>
                <w:szCs w:val="21"/>
                <w:highlight w:val="none"/>
                <w:u w:val="none"/>
                <w:lang w:val="en-US" w:eastAsia="zh-CN"/>
              </w:rPr>
              <w:t>规定实施政府采购。</w:t>
            </w:r>
          </w:p>
        </w:tc>
        <w:tc>
          <w:tcPr>
            <w:tcW w:w="2431"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1"/>
                <w:szCs w:val="21"/>
                <w:u w:val="none"/>
                <w:lang w:val="en-US" w:eastAsia="zh-CN"/>
              </w:rPr>
            </w:pPr>
            <w:r>
              <w:rPr>
                <w:rFonts w:hint="default" w:ascii="Times New Roman" w:hAnsi="Times New Roman" w:eastAsia="宋体" w:cs="Times New Roman"/>
                <w:i w:val="0"/>
                <w:color w:val="000000"/>
                <w:sz w:val="21"/>
                <w:szCs w:val="21"/>
                <w:u w:val="none"/>
                <w:lang w:val="en-US" w:eastAsia="zh-CN"/>
              </w:rPr>
              <w:t>合规采购记</w:t>
            </w:r>
            <w:r>
              <w:rPr>
                <w:rFonts w:hint="eastAsia" w:ascii="Times New Roman" w:hAnsi="Times New Roman" w:eastAsia="宋体" w:cs="Times New Roman"/>
                <w:i w:val="0"/>
                <w:color w:val="000000"/>
                <w:sz w:val="21"/>
                <w:szCs w:val="21"/>
                <w:u w:val="none"/>
                <w:lang w:val="en-US" w:eastAsia="zh-CN"/>
              </w:rPr>
              <w:t>2</w:t>
            </w:r>
            <w:r>
              <w:rPr>
                <w:rFonts w:hint="default" w:ascii="Times New Roman" w:hAnsi="Times New Roman" w:eastAsia="宋体" w:cs="Times New Roman"/>
                <w:i w:val="0"/>
                <w:color w:val="000000"/>
                <w:sz w:val="21"/>
                <w:szCs w:val="21"/>
                <w:u w:val="none"/>
                <w:lang w:val="en-US" w:eastAsia="zh-CN"/>
              </w:rPr>
              <w:t>分，</w:t>
            </w:r>
          </w:p>
          <w:p>
            <w:pPr>
              <w:keepNext w:val="0"/>
              <w:keepLines w:val="0"/>
              <w:widowControl/>
              <w:suppressLineNumbers w:val="0"/>
              <w:jc w:val="left"/>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sz w:val="21"/>
                <w:szCs w:val="21"/>
                <w:u w:val="none"/>
                <w:lang w:val="en-US" w:eastAsia="zh-CN"/>
              </w:rPr>
              <w:t>1次违规不得分。</w:t>
            </w:r>
          </w:p>
        </w:tc>
        <w:tc>
          <w:tcPr>
            <w:tcW w:w="2672"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政府会计制度</w:t>
            </w:r>
          </w:p>
        </w:tc>
        <w:tc>
          <w:tcPr>
            <w:tcW w:w="905"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eastAsia="宋体" w:cs="Times New Roman"/>
                <w:i w:val="0"/>
                <w:color w:val="000000"/>
                <w:sz w:val="21"/>
                <w:szCs w:val="21"/>
                <w:u w:val="none"/>
                <w:lang w:val="en-US" w:eastAsia="zh-CN"/>
              </w:rPr>
              <w:t>2</w:t>
            </w:r>
          </w:p>
        </w:tc>
        <w:tc>
          <w:tcPr>
            <w:tcW w:w="800"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cs="Times New Roman"/>
                <w:i w:val="0"/>
                <w:color w:val="000000"/>
                <w:sz w:val="21"/>
                <w:szCs w:val="21"/>
                <w:u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19" w:hRule="atLeast"/>
        </w:trPr>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262"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资产管理情况</w:t>
            </w:r>
            <w:r>
              <w:rPr>
                <w:rFonts w:hint="default" w:ascii="Times New Roman" w:hAnsi="Times New Roman" w:eastAsia="宋体" w:cs="Times New Roman"/>
                <w:i w:val="0"/>
                <w:color w:val="000000"/>
                <w:kern w:val="0"/>
                <w:sz w:val="21"/>
                <w:szCs w:val="21"/>
                <w:u w:val="none"/>
                <w:lang w:val="en-US" w:eastAsia="zh-CN" w:bidi="ar"/>
              </w:rPr>
              <w:t>（</w:t>
            </w:r>
            <w:r>
              <w:rPr>
                <w:rFonts w:hint="eastAsia" w:ascii="Times New Roman" w:hAnsi="Times New Roman" w:eastAsia="宋体" w:cs="Times New Roman"/>
                <w:i w:val="0"/>
                <w:color w:val="000000"/>
                <w:kern w:val="0"/>
                <w:sz w:val="21"/>
                <w:szCs w:val="21"/>
                <w:u w:val="none"/>
                <w:lang w:val="en-US" w:eastAsia="zh-CN" w:bidi="ar"/>
              </w:rPr>
              <w:t>1</w:t>
            </w:r>
            <w:r>
              <w:rPr>
                <w:rFonts w:hint="default" w:ascii="Times New Roman" w:hAnsi="Times New Roman" w:eastAsia="宋体" w:cs="Times New Roman"/>
                <w:i w:val="0"/>
                <w:color w:val="000000"/>
                <w:kern w:val="0"/>
                <w:sz w:val="21"/>
                <w:szCs w:val="21"/>
                <w:u w:val="none"/>
                <w:lang w:val="en-US" w:eastAsia="zh-CN" w:bidi="ar"/>
              </w:rPr>
              <w:t>分）</w:t>
            </w:r>
          </w:p>
        </w:tc>
        <w:tc>
          <w:tcPr>
            <w:tcW w:w="1091"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合规</w:t>
            </w:r>
          </w:p>
        </w:tc>
        <w:tc>
          <w:tcPr>
            <w:tcW w:w="3099" w:type="dxa"/>
            <w:noWrap w:val="0"/>
            <w:tcMar>
              <w:top w:w="15" w:type="dxa"/>
              <w:left w:w="15" w:type="dxa"/>
              <w:right w:w="15" w:type="dxa"/>
            </w:tcMar>
            <w:vAlign w:val="center"/>
          </w:tcPr>
          <w:p>
            <w:pPr>
              <w:keepNext w:val="0"/>
              <w:keepLines w:val="0"/>
              <w:widowControl/>
              <w:suppressLineNumbers w:val="0"/>
              <w:jc w:val="left"/>
              <w:textAlignment w:val="center"/>
              <w:rPr>
                <w:rStyle w:val="22"/>
                <w:rFonts w:hint="default" w:ascii="Times New Roman" w:hAnsi="Times New Roman" w:cs="Times New Roman"/>
                <w:sz w:val="21"/>
                <w:szCs w:val="21"/>
                <w:lang w:val="en-US" w:eastAsia="zh-CN" w:bidi="ar"/>
              </w:rPr>
            </w:pPr>
            <w:r>
              <w:rPr>
                <w:rStyle w:val="22"/>
                <w:rFonts w:hint="default" w:ascii="Times New Roman" w:hAnsi="Times New Roman" w:cs="Times New Roman"/>
                <w:sz w:val="21"/>
                <w:szCs w:val="21"/>
                <w:lang w:val="en-US" w:eastAsia="zh-CN" w:bidi="ar"/>
              </w:rPr>
              <w:t>根据资产管理制度，</w:t>
            </w:r>
          </w:p>
          <w:p>
            <w:pPr>
              <w:keepNext w:val="0"/>
              <w:keepLines w:val="0"/>
              <w:widowControl/>
              <w:suppressLineNumbers w:val="0"/>
              <w:jc w:val="left"/>
              <w:textAlignment w:val="center"/>
              <w:rPr>
                <w:rStyle w:val="22"/>
                <w:rFonts w:hint="default" w:ascii="Times New Roman" w:hAnsi="Times New Roman" w:cs="Times New Roman"/>
                <w:sz w:val="21"/>
                <w:szCs w:val="21"/>
                <w:lang w:val="en-US" w:eastAsia="zh-CN" w:bidi="ar"/>
              </w:rPr>
            </w:pPr>
            <w:r>
              <w:rPr>
                <w:rStyle w:val="22"/>
                <w:rFonts w:hint="default" w:ascii="Times New Roman" w:hAnsi="Times New Roman" w:cs="Times New Roman"/>
                <w:sz w:val="21"/>
                <w:szCs w:val="21"/>
                <w:lang w:val="en-US" w:eastAsia="zh-CN" w:bidi="ar"/>
              </w:rPr>
              <w:t>①对新资产进行采购入库（如：编制采购计划、进行采购审核、进行采购验收等）；</w:t>
            </w:r>
          </w:p>
          <w:p>
            <w:pPr>
              <w:keepNext w:val="0"/>
              <w:keepLines w:val="0"/>
              <w:widowControl/>
              <w:suppressLineNumbers w:val="0"/>
              <w:jc w:val="left"/>
              <w:textAlignment w:val="center"/>
              <w:rPr>
                <w:rStyle w:val="22"/>
                <w:rFonts w:hint="default" w:ascii="Times New Roman" w:hAnsi="Times New Roman" w:cs="Times New Roman"/>
                <w:sz w:val="21"/>
                <w:szCs w:val="21"/>
                <w:lang w:val="en-US" w:eastAsia="zh-CN" w:bidi="ar"/>
              </w:rPr>
            </w:pPr>
            <w:r>
              <w:rPr>
                <w:rStyle w:val="22"/>
                <w:rFonts w:hint="default" w:ascii="Times New Roman" w:hAnsi="Times New Roman" w:cs="Times New Roman"/>
                <w:sz w:val="21"/>
                <w:szCs w:val="21"/>
                <w:lang w:val="en-US" w:eastAsia="zh-CN" w:bidi="ar"/>
              </w:rPr>
              <w:t>②对现有资产进行清查、统计；</w:t>
            </w:r>
          </w:p>
          <w:p>
            <w:pPr>
              <w:keepNext w:val="0"/>
              <w:keepLines w:val="0"/>
              <w:widowControl/>
              <w:suppressLineNumbers w:val="0"/>
              <w:jc w:val="left"/>
              <w:textAlignment w:val="center"/>
              <w:rPr>
                <w:rStyle w:val="22"/>
                <w:rFonts w:hint="default" w:ascii="Times New Roman" w:hAnsi="Times New Roman" w:cs="Times New Roman"/>
                <w:sz w:val="21"/>
                <w:szCs w:val="21"/>
                <w:lang w:val="en-US" w:eastAsia="zh-CN" w:bidi="ar"/>
              </w:rPr>
            </w:pPr>
            <w:r>
              <w:rPr>
                <w:rStyle w:val="22"/>
                <w:rFonts w:hint="default" w:ascii="Times New Roman" w:hAnsi="Times New Roman" w:cs="Times New Roman"/>
                <w:sz w:val="21"/>
                <w:szCs w:val="21"/>
                <w:lang w:val="en-US" w:eastAsia="zh-CN" w:bidi="ar"/>
              </w:rPr>
              <w:t>③对现有相关资产进行报废处置；</w:t>
            </w:r>
          </w:p>
          <w:p>
            <w:pPr>
              <w:keepNext w:val="0"/>
              <w:keepLines w:val="0"/>
              <w:widowControl/>
              <w:suppressLineNumbers w:val="0"/>
              <w:jc w:val="left"/>
              <w:textAlignment w:val="center"/>
              <w:rPr>
                <w:rFonts w:hint="default" w:ascii="Times New Roman" w:hAnsi="Times New Roman" w:eastAsia="宋体" w:cs="Times New Roman"/>
                <w:i w:val="0"/>
                <w:color w:val="000000"/>
                <w:kern w:val="0"/>
                <w:sz w:val="21"/>
                <w:szCs w:val="21"/>
                <w:u w:val="none"/>
                <w:lang w:val="en-US" w:eastAsia="zh-CN" w:bidi="ar"/>
              </w:rPr>
            </w:pPr>
            <w:r>
              <w:rPr>
                <w:rStyle w:val="22"/>
                <w:rFonts w:hint="default" w:ascii="Times New Roman" w:hAnsi="Times New Roman" w:cs="Times New Roman"/>
                <w:sz w:val="21"/>
                <w:szCs w:val="21"/>
                <w:lang w:val="en-US" w:eastAsia="zh-CN" w:bidi="ar"/>
              </w:rPr>
              <w:t>④按照流程使用资产。</w:t>
            </w:r>
          </w:p>
        </w:tc>
        <w:tc>
          <w:tcPr>
            <w:tcW w:w="2431"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1"/>
                <w:szCs w:val="21"/>
                <w:u w:val="none"/>
                <w:lang w:val="en-US" w:eastAsia="zh-CN" w:bidi="ar"/>
              </w:rPr>
            </w:pPr>
            <w:r>
              <w:rPr>
                <w:rStyle w:val="22"/>
                <w:rFonts w:hint="default" w:ascii="Times New Roman" w:hAnsi="Times New Roman" w:cs="Times New Roman"/>
                <w:sz w:val="21"/>
                <w:szCs w:val="21"/>
                <w:lang w:val="en-US" w:eastAsia="zh-CN" w:bidi="ar"/>
              </w:rPr>
              <w:t>按照制度执行记</w:t>
            </w:r>
            <w:r>
              <w:rPr>
                <w:rStyle w:val="23"/>
                <w:rFonts w:hint="eastAsia" w:ascii="Times New Roman" w:hAnsi="Times New Roman" w:eastAsia="宋体" w:cs="Times New Roman"/>
                <w:sz w:val="21"/>
                <w:szCs w:val="21"/>
                <w:lang w:val="en-US" w:eastAsia="zh-CN" w:bidi="ar"/>
              </w:rPr>
              <w:t>1</w:t>
            </w:r>
            <w:r>
              <w:rPr>
                <w:rStyle w:val="22"/>
                <w:rFonts w:hint="default" w:ascii="Times New Roman" w:hAnsi="Times New Roman" w:cs="Times New Roman"/>
                <w:sz w:val="21"/>
                <w:szCs w:val="21"/>
                <w:lang w:val="en-US" w:eastAsia="zh-CN" w:bidi="ar"/>
              </w:rPr>
              <w:t>分，有</w:t>
            </w:r>
            <w:r>
              <w:rPr>
                <w:rStyle w:val="23"/>
                <w:rFonts w:hint="default" w:ascii="Times New Roman" w:hAnsi="Times New Roman" w:eastAsia="宋体" w:cs="Times New Roman"/>
                <w:sz w:val="21"/>
                <w:szCs w:val="21"/>
                <w:lang w:val="en-US" w:eastAsia="zh-CN" w:bidi="ar"/>
              </w:rPr>
              <w:t>1</w:t>
            </w:r>
            <w:r>
              <w:rPr>
                <w:rStyle w:val="22"/>
                <w:rFonts w:hint="default" w:ascii="Times New Roman" w:hAnsi="Times New Roman" w:cs="Times New Roman"/>
                <w:sz w:val="21"/>
                <w:szCs w:val="21"/>
                <w:lang w:val="en-US" w:eastAsia="zh-CN" w:bidi="ar"/>
              </w:rPr>
              <w:t>项违规</w:t>
            </w:r>
            <w:r>
              <w:rPr>
                <w:rStyle w:val="22"/>
                <w:rFonts w:hint="eastAsia" w:ascii="Times New Roman" w:hAnsi="Times New Roman" w:cs="Times New Roman"/>
                <w:sz w:val="21"/>
                <w:szCs w:val="21"/>
                <w:lang w:val="en-US" w:eastAsia="zh-CN" w:bidi="ar"/>
              </w:rPr>
              <w:t>不得分</w:t>
            </w:r>
            <w:r>
              <w:rPr>
                <w:rStyle w:val="22"/>
                <w:rFonts w:hint="default" w:ascii="Times New Roman" w:hAnsi="Times New Roman" w:cs="Times New Roman"/>
                <w:sz w:val="21"/>
                <w:szCs w:val="21"/>
                <w:lang w:val="en-US" w:eastAsia="zh-CN" w:bidi="ar"/>
              </w:rPr>
              <w:t>。</w:t>
            </w:r>
          </w:p>
        </w:tc>
        <w:tc>
          <w:tcPr>
            <w:tcW w:w="2672"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政府会计制度</w:t>
            </w:r>
          </w:p>
        </w:tc>
        <w:tc>
          <w:tcPr>
            <w:tcW w:w="905"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eastAsia="宋体" w:cs="Times New Roman"/>
                <w:i w:val="0"/>
                <w:color w:val="000000"/>
                <w:sz w:val="21"/>
                <w:szCs w:val="21"/>
                <w:u w:val="none"/>
                <w:lang w:val="en-US" w:eastAsia="zh-CN"/>
              </w:rPr>
              <w:t>1</w:t>
            </w:r>
          </w:p>
        </w:tc>
        <w:tc>
          <w:tcPr>
            <w:tcW w:w="800"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cs="Times New Roman"/>
                <w:i w:val="0"/>
                <w:color w:val="000000"/>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8" w:hRule="atLeast"/>
        </w:trPr>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262"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固定资产利用率</w:t>
            </w:r>
            <w:r>
              <w:rPr>
                <w:rFonts w:hint="default" w:ascii="Times New Roman" w:hAnsi="Times New Roman" w:eastAsia="宋体" w:cs="Times New Roman"/>
                <w:i w:val="0"/>
                <w:color w:val="000000"/>
                <w:kern w:val="0"/>
                <w:sz w:val="21"/>
                <w:szCs w:val="21"/>
                <w:u w:val="none"/>
                <w:lang w:val="en-US" w:eastAsia="zh-CN" w:bidi="ar"/>
              </w:rPr>
              <w:t>（1分）</w:t>
            </w:r>
          </w:p>
        </w:tc>
        <w:tc>
          <w:tcPr>
            <w:tcW w:w="1091"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100%</w:t>
            </w:r>
          </w:p>
        </w:tc>
        <w:tc>
          <w:tcPr>
            <w:tcW w:w="3099"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sz w:val="21"/>
                <w:szCs w:val="21"/>
                <w:u w:val="none"/>
                <w:lang w:eastAsia="zh-CN"/>
              </w:rPr>
              <w:t>固定资产利用率</w:t>
            </w:r>
            <w:r>
              <w:rPr>
                <w:rFonts w:hint="default" w:ascii="Times New Roman" w:hAnsi="Times New Roman" w:eastAsia="宋体" w:cs="Times New Roman"/>
                <w:i w:val="0"/>
                <w:color w:val="000000"/>
                <w:sz w:val="21"/>
                <w:szCs w:val="21"/>
                <w:u w:val="none"/>
                <w:lang w:val="en-US" w:eastAsia="zh-CN"/>
              </w:rPr>
              <w:t>=实际在用的固定资产总额/所有固定资产总额*100%。</w:t>
            </w:r>
          </w:p>
        </w:tc>
        <w:tc>
          <w:tcPr>
            <w:tcW w:w="2431" w:type="dxa"/>
            <w:noWrap w:val="0"/>
            <w:tcMar>
              <w:top w:w="15" w:type="dxa"/>
              <w:left w:w="15" w:type="dxa"/>
              <w:right w:w="15" w:type="dxa"/>
            </w:tcMar>
            <w:vAlign w:val="center"/>
          </w:tcPr>
          <w:p>
            <w:pPr>
              <w:keepNext w:val="0"/>
              <w:keepLines w:val="0"/>
              <w:widowControl/>
              <w:suppressLineNumbers w:val="0"/>
              <w:ind w:left="0" w:leftChars="0" w:firstLine="420" w:firstLineChars="200"/>
              <w:jc w:val="both"/>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sz w:val="21"/>
                <w:szCs w:val="21"/>
                <w:u w:val="none"/>
                <w:lang w:eastAsia="zh-CN"/>
              </w:rPr>
              <w:t>利用率达</w:t>
            </w:r>
            <w:r>
              <w:rPr>
                <w:rFonts w:hint="default" w:ascii="Times New Roman" w:hAnsi="Times New Roman" w:eastAsia="宋体" w:cs="Times New Roman"/>
                <w:i w:val="0"/>
                <w:color w:val="000000"/>
                <w:sz w:val="21"/>
                <w:szCs w:val="21"/>
                <w:u w:val="none"/>
                <w:lang w:val="en-US" w:eastAsia="zh-CN"/>
              </w:rPr>
              <w:t>100%记1分，否则不得分。</w:t>
            </w:r>
          </w:p>
        </w:tc>
        <w:tc>
          <w:tcPr>
            <w:tcW w:w="2672"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政府会计制度</w:t>
            </w:r>
          </w:p>
        </w:tc>
        <w:tc>
          <w:tcPr>
            <w:tcW w:w="905"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default" w:ascii="Times New Roman" w:hAnsi="Times New Roman" w:eastAsia="宋体" w:cs="Times New Roman"/>
                <w:i w:val="0"/>
                <w:color w:val="000000"/>
                <w:sz w:val="21"/>
                <w:szCs w:val="21"/>
                <w:u w:val="none"/>
                <w:lang w:val="en-US" w:eastAsia="zh-CN"/>
              </w:rPr>
              <w:t>1</w:t>
            </w:r>
          </w:p>
        </w:tc>
        <w:tc>
          <w:tcPr>
            <w:tcW w:w="800"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default" w:ascii="Times New Roman" w:hAnsi="Times New Roman" w:cs="Times New Roman"/>
                <w:i w:val="0"/>
                <w:color w:val="000000"/>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3" w:hRule="atLeast"/>
        </w:trPr>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010" w:type="dxa"/>
            <w:vMerge w:val="restart"/>
            <w:noWrap w:val="0"/>
            <w:tcMar>
              <w:top w:w="15" w:type="dxa"/>
              <w:left w:w="15" w:type="dxa"/>
              <w:right w:w="15" w:type="dxa"/>
            </w:tcMar>
            <w:vAlign w:val="center"/>
          </w:tcPr>
          <w:p>
            <w:pPr>
              <w:ind w:left="0" w:leftChars="0" w:firstLine="0" w:firstLineChars="0"/>
              <w:jc w:val="center"/>
              <w:rPr>
                <w:rFonts w:hint="eastAsia" w:ascii="Times New Roman" w:hAnsi="Times New Roman" w:eastAsia="宋体" w:cs="Times New Roman"/>
                <w:i w:val="0"/>
                <w:color w:val="000000"/>
                <w:sz w:val="21"/>
                <w:szCs w:val="21"/>
                <w:u w:val="none"/>
                <w:lang w:val="en-US" w:eastAsia="zh-CN"/>
              </w:rPr>
            </w:pPr>
            <w:r>
              <w:rPr>
                <w:rFonts w:hint="default" w:ascii="Times New Roman" w:hAnsi="Times New Roman" w:eastAsia="宋体" w:cs="Times New Roman"/>
                <w:i w:val="0"/>
                <w:color w:val="000000"/>
                <w:sz w:val="21"/>
                <w:szCs w:val="21"/>
                <w:u w:val="none"/>
              </w:rPr>
              <w:t>机构建设与内控管理</w:t>
            </w:r>
            <w:r>
              <w:rPr>
                <w:rFonts w:hint="eastAsia" w:ascii="Times New Roman" w:hAnsi="Times New Roman" w:eastAsia="宋体" w:cs="Times New Roman"/>
                <w:i w:val="0"/>
                <w:color w:val="000000"/>
                <w:sz w:val="21"/>
                <w:szCs w:val="21"/>
                <w:u w:val="none"/>
                <w:lang w:val="en-US" w:eastAsia="zh-CN"/>
              </w:rPr>
              <w:t>（10分）</w:t>
            </w:r>
          </w:p>
        </w:tc>
        <w:tc>
          <w:tcPr>
            <w:tcW w:w="1262"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信息公开度</w:t>
            </w:r>
          </w:p>
        </w:tc>
        <w:tc>
          <w:tcPr>
            <w:tcW w:w="1091"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100%</w:t>
            </w:r>
          </w:p>
        </w:tc>
        <w:tc>
          <w:tcPr>
            <w:tcW w:w="3099"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①按规定内容公开预决算信息②按规定时间公开预决算。</w:t>
            </w:r>
          </w:p>
        </w:tc>
        <w:tc>
          <w:tcPr>
            <w:tcW w:w="2431"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按规定公开信息记</w:t>
            </w:r>
            <w:r>
              <w:rPr>
                <w:rFonts w:hint="eastAsia" w:ascii="Times New Roman" w:hAnsi="Times New Roman" w:eastAsia="宋体" w:cs="Times New Roman"/>
                <w:i w:val="0"/>
                <w:color w:val="000000"/>
                <w:kern w:val="0"/>
                <w:sz w:val="21"/>
                <w:szCs w:val="21"/>
                <w:u w:val="none"/>
                <w:lang w:val="en-US" w:eastAsia="zh-CN" w:bidi="ar"/>
              </w:rPr>
              <w:t>1</w:t>
            </w:r>
            <w:r>
              <w:rPr>
                <w:rFonts w:hint="default" w:ascii="Times New Roman" w:hAnsi="Times New Roman" w:eastAsia="宋体" w:cs="Times New Roman"/>
                <w:i w:val="0"/>
                <w:color w:val="000000"/>
                <w:kern w:val="0"/>
                <w:sz w:val="21"/>
                <w:szCs w:val="21"/>
                <w:u w:val="none"/>
                <w:lang w:val="en-US" w:eastAsia="zh-CN" w:bidi="ar"/>
              </w:rPr>
              <w:t>分，有1项违规</w:t>
            </w:r>
            <w:r>
              <w:rPr>
                <w:rFonts w:hint="eastAsia" w:ascii="Times New Roman" w:hAnsi="Times New Roman" w:eastAsia="宋体" w:cs="Times New Roman"/>
                <w:i w:val="0"/>
                <w:color w:val="000000"/>
                <w:kern w:val="0"/>
                <w:sz w:val="21"/>
                <w:szCs w:val="21"/>
                <w:u w:val="none"/>
                <w:lang w:val="en-US" w:eastAsia="zh-CN" w:bidi="ar"/>
              </w:rPr>
              <w:t>不得分</w:t>
            </w:r>
            <w:r>
              <w:rPr>
                <w:rFonts w:hint="default" w:ascii="Times New Roman" w:hAnsi="Times New Roman" w:eastAsia="宋体" w:cs="Times New Roman"/>
                <w:i w:val="0"/>
                <w:color w:val="000000"/>
                <w:kern w:val="0"/>
                <w:sz w:val="21"/>
                <w:szCs w:val="21"/>
                <w:u w:val="none"/>
                <w:lang w:val="en-US" w:eastAsia="zh-CN" w:bidi="ar"/>
              </w:rPr>
              <w:t>。</w:t>
            </w:r>
          </w:p>
        </w:tc>
        <w:tc>
          <w:tcPr>
            <w:tcW w:w="2672"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和主管局签署的目标责任状</w:t>
            </w:r>
          </w:p>
        </w:tc>
        <w:tc>
          <w:tcPr>
            <w:tcW w:w="905"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eastAsia="宋体" w:cs="Times New Roman"/>
                <w:i w:val="0"/>
                <w:color w:val="000000"/>
                <w:sz w:val="21"/>
                <w:szCs w:val="21"/>
                <w:u w:val="none"/>
                <w:lang w:val="en-US" w:eastAsia="zh-CN"/>
              </w:rPr>
              <w:t>1</w:t>
            </w:r>
          </w:p>
        </w:tc>
        <w:tc>
          <w:tcPr>
            <w:tcW w:w="800"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cs="Times New Roman"/>
                <w:i w:val="0"/>
                <w:color w:val="000000"/>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8" w:hRule="atLeast"/>
        </w:trPr>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262"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工作风险控制</w:t>
            </w:r>
            <w:r>
              <w:rPr>
                <w:rFonts w:hint="default" w:ascii="Times New Roman" w:hAnsi="Times New Roman" w:eastAsia="宋体" w:cs="Times New Roman"/>
                <w:i w:val="0"/>
                <w:color w:val="000000"/>
                <w:kern w:val="0"/>
                <w:sz w:val="21"/>
                <w:szCs w:val="21"/>
                <w:u w:val="none"/>
                <w:lang w:val="en-US" w:eastAsia="zh-CN" w:bidi="ar"/>
              </w:rPr>
              <w:t>（</w:t>
            </w:r>
            <w:r>
              <w:rPr>
                <w:rFonts w:hint="eastAsia" w:ascii="Times New Roman" w:hAnsi="Times New Roman" w:eastAsia="宋体" w:cs="Times New Roman"/>
                <w:i w:val="0"/>
                <w:color w:val="000000"/>
                <w:kern w:val="0"/>
                <w:sz w:val="21"/>
                <w:szCs w:val="21"/>
                <w:u w:val="none"/>
                <w:lang w:val="en-US" w:eastAsia="zh-CN" w:bidi="ar"/>
              </w:rPr>
              <w:t>1</w:t>
            </w:r>
            <w:r>
              <w:rPr>
                <w:rFonts w:hint="default" w:ascii="Times New Roman" w:hAnsi="Times New Roman" w:eastAsia="宋体" w:cs="Times New Roman"/>
                <w:i w:val="0"/>
                <w:color w:val="000000"/>
                <w:kern w:val="0"/>
                <w:sz w:val="21"/>
                <w:szCs w:val="21"/>
                <w:u w:val="none"/>
                <w:lang w:val="en-US" w:eastAsia="zh-CN" w:bidi="ar"/>
              </w:rPr>
              <w:t>分）</w:t>
            </w:r>
          </w:p>
        </w:tc>
        <w:tc>
          <w:tcPr>
            <w:tcW w:w="1091"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健全</w:t>
            </w:r>
          </w:p>
        </w:tc>
        <w:tc>
          <w:tcPr>
            <w:tcW w:w="3099"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1"/>
                <w:szCs w:val="21"/>
                <w:u w:val="none"/>
                <w:lang w:val="en-US" w:eastAsia="zh-CN" w:bidi="ar"/>
              </w:rPr>
            </w:pPr>
            <w:r>
              <w:rPr>
                <w:rStyle w:val="22"/>
                <w:rFonts w:hint="default" w:ascii="Times New Roman" w:hAnsi="Times New Roman" w:cs="Times New Roman"/>
                <w:sz w:val="21"/>
                <w:szCs w:val="21"/>
                <w:highlight w:val="none"/>
                <w:lang w:val="en-US" w:eastAsia="zh-CN" w:bidi="ar"/>
              </w:rPr>
              <w:t>考察按照工作环节、流程细化完善风险点</w:t>
            </w:r>
            <w:r>
              <w:rPr>
                <w:rStyle w:val="22"/>
                <w:rFonts w:hint="eastAsia" w:ascii="Times New Roman" w:hAnsi="Times New Roman" w:cs="Times New Roman"/>
                <w:sz w:val="21"/>
                <w:szCs w:val="21"/>
                <w:highlight w:val="none"/>
                <w:lang w:val="en-US" w:eastAsia="zh-CN" w:bidi="ar"/>
              </w:rPr>
              <w:t>的</w:t>
            </w:r>
            <w:r>
              <w:rPr>
                <w:rStyle w:val="22"/>
                <w:rFonts w:hint="default" w:ascii="Times New Roman" w:hAnsi="Times New Roman" w:cs="Times New Roman"/>
                <w:sz w:val="21"/>
                <w:szCs w:val="21"/>
                <w:highlight w:val="none"/>
                <w:lang w:val="en-US" w:eastAsia="zh-CN" w:bidi="ar"/>
              </w:rPr>
              <w:t>情况。</w:t>
            </w:r>
          </w:p>
        </w:tc>
        <w:tc>
          <w:tcPr>
            <w:tcW w:w="2431"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1"/>
                <w:szCs w:val="21"/>
                <w:u w:val="none"/>
                <w:lang w:val="en-US" w:eastAsia="zh-CN" w:bidi="ar"/>
              </w:rPr>
            </w:pPr>
            <w:r>
              <w:rPr>
                <w:rStyle w:val="22"/>
                <w:rFonts w:hint="default" w:ascii="Times New Roman" w:hAnsi="Times New Roman" w:cs="Times New Roman"/>
                <w:sz w:val="21"/>
                <w:szCs w:val="21"/>
                <w:lang w:val="en-US" w:eastAsia="zh-CN" w:bidi="ar"/>
              </w:rPr>
              <w:t>工作风险控制健全，记</w:t>
            </w:r>
            <w:r>
              <w:rPr>
                <w:rStyle w:val="23"/>
                <w:rFonts w:hint="eastAsia" w:ascii="Times New Roman" w:hAnsi="Times New Roman" w:eastAsia="宋体" w:cs="Times New Roman"/>
                <w:sz w:val="21"/>
                <w:szCs w:val="21"/>
                <w:lang w:val="en-US" w:eastAsia="zh-CN" w:bidi="ar"/>
              </w:rPr>
              <w:t>1</w:t>
            </w:r>
            <w:r>
              <w:rPr>
                <w:rStyle w:val="22"/>
                <w:rFonts w:hint="default" w:ascii="Times New Roman" w:hAnsi="Times New Roman" w:cs="Times New Roman"/>
                <w:sz w:val="21"/>
                <w:szCs w:val="21"/>
                <w:lang w:val="en-US" w:eastAsia="zh-CN" w:bidi="ar"/>
              </w:rPr>
              <w:t>分，缺</w:t>
            </w:r>
            <w:r>
              <w:rPr>
                <w:rStyle w:val="23"/>
                <w:rFonts w:hint="default" w:ascii="Times New Roman" w:hAnsi="Times New Roman" w:eastAsia="宋体" w:cs="Times New Roman"/>
                <w:sz w:val="21"/>
                <w:szCs w:val="21"/>
                <w:lang w:val="en-US" w:eastAsia="zh-CN" w:bidi="ar"/>
              </w:rPr>
              <w:t>1</w:t>
            </w:r>
            <w:r>
              <w:rPr>
                <w:rStyle w:val="22"/>
                <w:rFonts w:hint="default" w:ascii="Times New Roman" w:hAnsi="Times New Roman" w:cs="Times New Roman"/>
                <w:sz w:val="21"/>
                <w:szCs w:val="21"/>
                <w:lang w:val="en-US" w:eastAsia="zh-CN" w:bidi="ar"/>
              </w:rPr>
              <w:t>项</w:t>
            </w:r>
            <w:r>
              <w:rPr>
                <w:rFonts w:hint="eastAsia" w:ascii="Times New Roman" w:hAnsi="Times New Roman" w:eastAsia="宋体" w:cs="Times New Roman"/>
                <w:i w:val="0"/>
                <w:color w:val="000000"/>
                <w:kern w:val="0"/>
                <w:sz w:val="21"/>
                <w:szCs w:val="21"/>
                <w:u w:val="none"/>
                <w:lang w:val="en-US" w:eastAsia="zh-CN" w:bidi="ar"/>
              </w:rPr>
              <w:t>不得分</w:t>
            </w:r>
            <w:r>
              <w:rPr>
                <w:rFonts w:hint="default" w:ascii="Times New Roman" w:hAnsi="Times New Roman" w:eastAsia="宋体" w:cs="Times New Roman"/>
                <w:i w:val="0"/>
                <w:color w:val="000000"/>
                <w:kern w:val="0"/>
                <w:sz w:val="21"/>
                <w:szCs w:val="21"/>
                <w:u w:val="none"/>
                <w:lang w:val="en-US" w:eastAsia="zh-CN" w:bidi="ar"/>
              </w:rPr>
              <w:t>。</w:t>
            </w:r>
            <w:r>
              <w:rPr>
                <w:rStyle w:val="22"/>
                <w:rFonts w:hint="default" w:ascii="Times New Roman" w:hAnsi="Times New Roman" w:cs="Times New Roman"/>
                <w:sz w:val="21"/>
                <w:szCs w:val="21"/>
                <w:lang w:val="en-US" w:eastAsia="zh-CN" w:bidi="ar"/>
              </w:rPr>
              <w:t>。</w:t>
            </w:r>
          </w:p>
        </w:tc>
        <w:tc>
          <w:tcPr>
            <w:tcW w:w="2672"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和主管局签署的目标责任状</w:t>
            </w:r>
          </w:p>
        </w:tc>
        <w:tc>
          <w:tcPr>
            <w:tcW w:w="905"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eastAsia="宋体" w:cs="Times New Roman"/>
                <w:i w:val="0"/>
                <w:color w:val="000000"/>
                <w:sz w:val="21"/>
                <w:szCs w:val="21"/>
                <w:u w:val="none"/>
                <w:lang w:val="en-US" w:eastAsia="zh-CN"/>
              </w:rPr>
              <w:t>1</w:t>
            </w:r>
          </w:p>
        </w:tc>
        <w:tc>
          <w:tcPr>
            <w:tcW w:w="800"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cs="Times New Roman"/>
                <w:i w:val="0"/>
                <w:color w:val="000000"/>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6" w:hRule="atLeast"/>
        </w:trPr>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262"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档案管理星级</w:t>
            </w:r>
            <w:r>
              <w:rPr>
                <w:rFonts w:hint="default" w:ascii="Times New Roman" w:hAnsi="Times New Roman" w:eastAsia="宋体" w:cs="Times New Roman"/>
                <w:i w:val="0"/>
                <w:color w:val="000000"/>
                <w:kern w:val="0"/>
                <w:sz w:val="21"/>
                <w:szCs w:val="21"/>
                <w:u w:val="none"/>
                <w:lang w:val="en-US" w:eastAsia="zh-CN" w:bidi="ar"/>
              </w:rPr>
              <w:t>（</w:t>
            </w:r>
            <w:r>
              <w:rPr>
                <w:rFonts w:hint="eastAsia" w:ascii="Times New Roman" w:hAnsi="Times New Roman" w:eastAsia="宋体" w:cs="Times New Roman"/>
                <w:i w:val="0"/>
                <w:color w:val="000000"/>
                <w:kern w:val="0"/>
                <w:sz w:val="21"/>
                <w:szCs w:val="21"/>
                <w:u w:val="none"/>
                <w:lang w:val="en-US" w:eastAsia="zh-CN" w:bidi="ar"/>
              </w:rPr>
              <w:t>1</w:t>
            </w:r>
            <w:r>
              <w:rPr>
                <w:rFonts w:hint="default" w:ascii="Times New Roman" w:hAnsi="Times New Roman" w:eastAsia="宋体" w:cs="Times New Roman"/>
                <w:i w:val="0"/>
                <w:color w:val="000000"/>
                <w:kern w:val="0"/>
                <w:sz w:val="21"/>
                <w:szCs w:val="21"/>
                <w:u w:val="none"/>
                <w:lang w:val="en-US" w:eastAsia="zh-CN" w:bidi="ar"/>
              </w:rPr>
              <w:t>分）</w:t>
            </w:r>
          </w:p>
        </w:tc>
        <w:tc>
          <w:tcPr>
            <w:tcW w:w="1091"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3/4/5级</w:t>
            </w:r>
          </w:p>
        </w:tc>
        <w:tc>
          <w:tcPr>
            <w:tcW w:w="3099"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sz w:val="21"/>
                <w:szCs w:val="21"/>
                <w:u w:val="none"/>
                <w:lang w:eastAsia="zh-CN"/>
              </w:rPr>
              <w:t>考察内部人事、财务、专项、日常工作等各项工作的档案管理的完备情况。</w:t>
            </w:r>
          </w:p>
        </w:tc>
        <w:tc>
          <w:tcPr>
            <w:tcW w:w="2431"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sz w:val="21"/>
                <w:szCs w:val="21"/>
                <w:u w:val="none"/>
                <w:lang w:eastAsia="zh-CN"/>
              </w:rPr>
              <w:t>达到三星记</w:t>
            </w:r>
            <w:r>
              <w:rPr>
                <w:rFonts w:hint="eastAsia" w:ascii="Times New Roman" w:hAnsi="Times New Roman" w:eastAsia="宋体" w:cs="Times New Roman"/>
                <w:i w:val="0"/>
                <w:color w:val="000000"/>
                <w:sz w:val="21"/>
                <w:szCs w:val="21"/>
                <w:u w:val="none"/>
                <w:lang w:val="en-US" w:eastAsia="zh-CN"/>
              </w:rPr>
              <w:t>1</w:t>
            </w:r>
            <w:r>
              <w:rPr>
                <w:rFonts w:hint="default" w:ascii="Times New Roman" w:hAnsi="Times New Roman" w:eastAsia="宋体" w:cs="Times New Roman"/>
                <w:i w:val="0"/>
                <w:color w:val="000000"/>
                <w:sz w:val="21"/>
                <w:szCs w:val="21"/>
                <w:u w:val="none"/>
                <w:lang w:val="en-US" w:eastAsia="zh-CN"/>
              </w:rPr>
              <w:t>分，二星及一下不得分。</w:t>
            </w:r>
          </w:p>
        </w:tc>
        <w:tc>
          <w:tcPr>
            <w:tcW w:w="2672"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和主管局签署的目标责任状</w:t>
            </w:r>
          </w:p>
        </w:tc>
        <w:tc>
          <w:tcPr>
            <w:tcW w:w="905"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eastAsia="宋体" w:cs="Times New Roman"/>
                <w:i w:val="0"/>
                <w:color w:val="000000"/>
                <w:sz w:val="21"/>
                <w:szCs w:val="21"/>
                <w:u w:val="none"/>
                <w:lang w:val="en-US" w:eastAsia="zh-CN"/>
              </w:rPr>
              <w:t>1</w:t>
            </w:r>
          </w:p>
        </w:tc>
        <w:tc>
          <w:tcPr>
            <w:tcW w:w="800"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cs="Times New Roman"/>
                <w:i w:val="0"/>
                <w:color w:val="000000"/>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262"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违纪违法发生数</w:t>
            </w:r>
            <w:r>
              <w:rPr>
                <w:rFonts w:hint="default" w:ascii="Times New Roman" w:hAnsi="Times New Roman" w:eastAsia="宋体" w:cs="Times New Roman"/>
                <w:i w:val="0"/>
                <w:color w:val="000000"/>
                <w:kern w:val="0"/>
                <w:sz w:val="21"/>
                <w:szCs w:val="21"/>
                <w:u w:val="none"/>
                <w:lang w:val="en-US" w:eastAsia="zh-CN" w:bidi="ar"/>
              </w:rPr>
              <w:t>（</w:t>
            </w:r>
            <w:r>
              <w:rPr>
                <w:rFonts w:hint="eastAsia" w:ascii="Times New Roman" w:hAnsi="Times New Roman" w:eastAsia="宋体" w:cs="Times New Roman"/>
                <w:i w:val="0"/>
                <w:color w:val="000000"/>
                <w:kern w:val="0"/>
                <w:sz w:val="21"/>
                <w:szCs w:val="21"/>
                <w:u w:val="none"/>
                <w:lang w:val="en-US" w:eastAsia="zh-CN" w:bidi="ar"/>
              </w:rPr>
              <w:t>1</w:t>
            </w:r>
            <w:r>
              <w:rPr>
                <w:rFonts w:hint="default" w:ascii="Times New Roman" w:hAnsi="Times New Roman" w:eastAsia="宋体" w:cs="Times New Roman"/>
                <w:i w:val="0"/>
                <w:color w:val="000000"/>
                <w:kern w:val="0"/>
                <w:sz w:val="21"/>
                <w:szCs w:val="21"/>
                <w:u w:val="none"/>
                <w:lang w:val="en-US" w:eastAsia="zh-CN" w:bidi="ar"/>
              </w:rPr>
              <w:t>分）</w:t>
            </w:r>
          </w:p>
        </w:tc>
        <w:tc>
          <w:tcPr>
            <w:tcW w:w="1091"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0%</w:t>
            </w:r>
          </w:p>
        </w:tc>
        <w:tc>
          <w:tcPr>
            <w:tcW w:w="3099"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按照国家法律法规执行公务，考察工作人员违法违纪的发生情况。</w:t>
            </w:r>
          </w:p>
        </w:tc>
        <w:tc>
          <w:tcPr>
            <w:tcW w:w="2431"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1"/>
                <w:szCs w:val="21"/>
                <w:u w:val="none"/>
                <w:lang w:val="en-US" w:eastAsia="zh-CN" w:bidi="ar"/>
              </w:rPr>
            </w:pPr>
            <w:r>
              <w:rPr>
                <w:rStyle w:val="22"/>
                <w:rFonts w:hint="default" w:ascii="Times New Roman" w:hAnsi="Times New Roman" w:cs="Times New Roman"/>
                <w:sz w:val="21"/>
                <w:szCs w:val="21"/>
                <w:lang w:val="en-US" w:eastAsia="zh-CN" w:bidi="ar"/>
              </w:rPr>
              <w:t>无违纪违法发生记</w:t>
            </w:r>
            <w:r>
              <w:rPr>
                <w:rStyle w:val="23"/>
                <w:rFonts w:hint="eastAsia" w:ascii="Times New Roman" w:hAnsi="Times New Roman" w:eastAsia="宋体" w:cs="Times New Roman"/>
                <w:sz w:val="21"/>
                <w:szCs w:val="21"/>
                <w:lang w:val="en-US" w:eastAsia="zh-CN" w:bidi="ar"/>
              </w:rPr>
              <w:t>1</w:t>
            </w:r>
            <w:r>
              <w:rPr>
                <w:rStyle w:val="22"/>
                <w:rFonts w:hint="default" w:ascii="Times New Roman" w:hAnsi="Times New Roman" w:cs="Times New Roman"/>
                <w:sz w:val="21"/>
                <w:szCs w:val="21"/>
                <w:lang w:val="en-US" w:eastAsia="zh-CN" w:bidi="ar"/>
              </w:rPr>
              <w:t>分，有违法不得分。</w:t>
            </w:r>
          </w:p>
        </w:tc>
        <w:tc>
          <w:tcPr>
            <w:tcW w:w="2672"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和主管局签署的目标责任状</w:t>
            </w:r>
          </w:p>
        </w:tc>
        <w:tc>
          <w:tcPr>
            <w:tcW w:w="905"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eastAsia="宋体" w:cs="Times New Roman"/>
                <w:i w:val="0"/>
                <w:color w:val="000000"/>
                <w:sz w:val="21"/>
                <w:szCs w:val="21"/>
                <w:u w:val="none"/>
                <w:lang w:val="en-US" w:eastAsia="zh-CN"/>
              </w:rPr>
              <w:t>1</w:t>
            </w:r>
          </w:p>
        </w:tc>
        <w:tc>
          <w:tcPr>
            <w:tcW w:w="800"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cs="Times New Roman"/>
                <w:i w:val="0"/>
                <w:color w:val="000000"/>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6" w:hRule="atLeast"/>
        </w:trPr>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262"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党建工作完成率</w:t>
            </w:r>
            <w:r>
              <w:rPr>
                <w:rFonts w:hint="default" w:ascii="Times New Roman" w:hAnsi="Times New Roman" w:eastAsia="宋体" w:cs="Times New Roman"/>
                <w:i w:val="0"/>
                <w:color w:val="000000"/>
                <w:kern w:val="0"/>
                <w:sz w:val="21"/>
                <w:szCs w:val="21"/>
                <w:u w:val="none"/>
                <w:lang w:val="en-US" w:eastAsia="zh-CN" w:bidi="ar"/>
              </w:rPr>
              <w:t>（</w:t>
            </w:r>
            <w:r>
              <w:rPr>
                <w:rFonts w:hint="eastAsia" w:ascii="Times New Roman" w:hAnsi="Times New Roman" w:eastAsia="宋体" w:cs="Times New Roman"/>
                <w:i w:val="0"/>
                <w:color w:val="000000"/>
                <w:kern w:val="0"/>
                <w:sz w:val="21"/>
                <w:szCs w:val="21"/>
                <w:u w:val="none"/>
                <w:lang w:val="en-US" w:eastAsia="zh-CN" w:bidi="ar"/>
              </w:rPr>
              <w:t>1</w:t>
            </w:r>
            <w:r>
              <w:rPr>
                <w:rFonts w:hint="default" w:ascii="Times New Roman" w:hAnsi="Times New Roman" w:eastAsia="宋体" w:cs="Times New Roman"/>
                <w:i w:val="0"/>
                <w:color w:val="000000"/>
                <w:kern w:val="0"/>
                <w:sz w:val="21"/>
                <w:szCs w:val="21"/>
                <w:u w:val="none"/>
                <w:lang w:val="en-US" w:eastAsia="zh-CN" w:bidi="ar"/>
              </w:rPr>
              <w:t>分）</w:t>
            </w:r>
          </w:p>
        </w:tc>
        <w:tc>
          <w:tcPr>
            <w:tcW w:w="1091"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100%</w:t>
            </w:r>
          </w:p>
        </w:tc>
        <w:tc>
          <w:tcPr>
            <w:tcW w:w="3099"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1"/>
                <w:szCs w:val="21"/>
                <w:u w:val="none"/>
                <w:lang w:val="en-US" w:eastAsia="zh-CN" w:bidi="ar"/>
              </w:rPr>
            </w:pPr>
            <w:r>
              <w:rPr>
                <w:rStyle w:val="22"/>
                <w:rFonts w:hint="default" w:ascii="Times New Roman" w:hAnsi="Times New Roman" w:cs="Times New Roman"/>
                <w:sz w:val="21"/>
                <w:szCs w:val="21"/>
                <w:lang w:val="en-US" w:eastAsia="zh-CN" w:bidi="ar"/>
              </w:rPr>
              <w:t>考察党建工作情况，是否按照党建要求开展党组织各项工作和活动。</w:t>
            </w:r>
          </w:p>
        </w:tc>
        <w:tc>
          <w:tcPr>
            <w:tcW w:w="2431"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1"/>
                <w:szCs w:val="21"/>
                <w:u w:val="none"/>
                <w:lang w:val="en-US" w:eastAsia="zh-CN" w:bidi="ar"/>
              </w:rPr>
            </w:pPr>
            <w:r>
              <w:rPr>
                <w:rStyle w:val="22"/>
                <w:rFonts w:hint="default" w:ascii="Times New Roman" w:hAnsi="Times New Roman" w:cs="Times New Roman"/>
                <w:sz w:val="21"/>
                <w:szCs w:val="21"/>
                <w:lang w:val="en-US" w:eastAsia="zh-CN" w:bidi="ar"/>
              </w:rPr>
              <w:t>完成党建工作</w:t>
            </w:r>
            <w:r>
              <w:rPr>
                <w:rStyle w:val="23"/>
                <w:rFonts w:hint="default" w:ascii="Times New Roman" w:hAnsi="Times New Roman" w:eastAsia="宋体" w:cs="Times New Roman"/>
                <w:sz w:val="21"/>
                <w:szCs w:val="21"/>
                <w:lang w:val="en-US" w:eastAsia="zh-CN" w:bidi="ar"/>
              </w:rPr>
              <w:t>100%</w:t>
            </w:r>
            <w:r>
              <w:rPr>
                <w:rStyle w:val="22"/>
                <w:rFonts w:hint="default" w:ascii="Times New Roman" w:hAnsi="Times New Roman" w:cs="Times New Roman"/>
                <w:sz w:val="21"/>
                <w:szCs w:val="21"/>
                <w:lang w:val="en-US" w:eastAsia="zh-CN" w:bidi="ar"/>
              </w:rPr>
              <w:t>，记</w:t>
            </w:r>
            <w:r>
              <w:rPr>
                <w:rStyle w:val="23"/>
                <w:rFonts w:hint="eastAsia" w:ascii="Times New Roman" w:hAnsi="Times New Roman" w:eastAsia="宋体" w:cs="Times New Roman"/>
                <w:sz w:val="21"/>
                <w:szCs w:val="21"/>
                <w:lang w:val="en-US" w:eastAsia="zh-CN" w:bidi="ar"/>
              </w:rPr>
              <w:t>1</w:t>
            </w:r>
            <w:r>
              <w:rPr>
                <w:rStyle w:val="22"/>
                <w:rFonts w:hint="default" w:ascii="Times New Roman" w:hAnsi="Times New Roman" w:cs="Times New Roman"/>
                <w:sz w:val="21"/>
                <w:szCs w:val="21"/>
                <w:lang w:val="en-US" w:eastAsia="zh-CN" w:bidi="ar"/>
              </w:rPr>
              <w:t>分。没完成不得分。</w:t>
            </w:r>
          </w:p>
        </w:tc>
        <w:tc>
          <w:tcPr>
            <w:tcW w:w="2672"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和主管局签署的目标责任状</w:t>
            </w:r>
          </w:p>
        </w:tc>
        <w:tc>
          <w:tcPr>
            <w:tcW w:w="905"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eastAsia="宋体" w:cs="Times New Roman"/>
                <w:i w:val="0"/>
                <w:color w:val="000000"/>
                <w:sz w:val="21"/>
                <w:szCs w:val="21"/>
                <w:u w:val="none"/>
                <w:lang w:val="en-US" w:eastAsia="zh-CN"/>
              </w:rPr>
              <w:t>1</w:t>
            </w:r>
          </w:p>
        </w:tc>
        <w:tc>
          <w:tcPr>
            <w:tcW w:w="800"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cs="Times New Roman"/>
                <w:i w:val="0"/>
                <w:color w:val="000000"/>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0" w:hRule="atLeast"/>
        </w:trPr>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262"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网络及信息系统管理与运行</w:t>
            </w:r>
            <w:r>
              <w:rPr>
                <w:rFonts w:hint="default" w:ascii="Times New Roman" w:hAnsi="Times New Roman" w:eastAsia="宋体" w:cs="Times New Roman"/>
                <w:i w:val="0"/>
                <w:color w:val="000000"/>
                <w:kern w:val="0"/>
                <w:sz w:val="21"/>
                <w:szCs w:val="21"/>
                <w:u w:val="none"/>
                <w:lang w:val="en-US" w:eastAsia="zh-CN" w:bidi="ar"/>
              </w:rPr>
              <w:t>（</w:t>
            </w:r>
            <w:r>
              <w:rPr>
                <w:rFonts w:hint="eastAsia" w:ascii="Times New Roman" w:hAnsi="Times New Roman" w:eastAsia="宋体" w:cs="Times New Roman"/>
                <w:i w:val="0"/>
                <w:color w:val="000000"/>
                <w:kern w:val="0"/>
                <w:sz w:val="21"/>
                <w:szCs w:val="21"/>
                <w:u w:val="none"/>
                <w:lang w:val="en-US" w:eastAsia="zh-CN" w:bidi="ar"/>
              </w:rPr>
              <w:t>1</w:t>
            </w:r>
            <w:r>
              <w:rPr>
                <w:rFonts w:hint="default" w:ascii="Times New Roman" w:hAnsi="Times New Roman" w:eastAsia="宋体" w:cs="Times New Roman"/>
                <w:i w:val="0"/>
                <w:color w:val="000000"/>
                <w:kern w:val="0"/>
                <w:sz w:val="21"/>
                <w:szCs w:val="21"/>
                <w:u w:val="none"/>
                <w:lang w:val="en-US" w:eastAsia="zh-CN" w:bidi="ar"/>
              </w:rPr>
              <w:t>分）</w:t>
            </w:r>
          </w:p>
        </w:tc>
        <w:tc>
          <w:tcPr>
            <w:tcW w:w="1091"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≥12次</w:t>
            </w:r>
          </w:p>
        </w:tc>
        <w:tc>
          <w:tcPr>
            <w:tcW w:w="3099" w:type="dxa"/>
            <w:noWrap w:val="0"/>
            <w:tcMar>
              <w:top w:w="15" w:type="dxa"/>
              <w:left w:w="15" w:type="dxa"/>
              <w:right w:w="15" w:type="dxa"/>
            </w:tcMar>
            <w:vAlign w:val="center"/>
          </w:tcPr>
          <w:p>
            <w:pPr>
              <w:keepNext w:val="0"/>
              <w:keepLines w:val="0"/>
              <w:widowControl/>
              <w:suppressLineNumbers w:val="0"/>
              <w:jc w:val="both"/>
              <w:textAlignment w:val="center"/>
              <w:rPr>
                <w:rStyle w:val="22"/>
                <w:rFonts w:hint="default" w:ascii="Times New Roman" w:hAnsi="Times New Roman" w:cs="Times New Roman"/>
                <w:sz w:val="21"/>
                <w:szCs w:val="21"/>
                <w:lang w:val="en-US" w:eastAsia="zh-CN" w:bidi="ar"/>
              </w:rPr>
            </w:pPr>
            <w:r>
              <w:rPr>
                <w:rStyle w:val="22"/>
                <w:rFonts w:hint="default" w:ascii="Times New Roman" w:hAnsi="Times New Roman" w:cs="Times New Roman"/>
                <w:sz w:val="21"/>
                <w:szCs w:val="21"/>
                <w:lang w:val="en-US" w:eastAsia="zh-CN" w:bidi="ar"/>
              </w:rPr>
              <w:t>①完善网络互连和信息资源共享；</w:t>
            </w:r>
          </w:p>
          <w:p>
            <w:pPr>
              <w:keepNext w:val="0"/>
              <w:keepLines w:val="0"/>
              <w:widowControl/>
              <w:suppressLineNumbers w:val="0"/>
              <w:jc w:val="both"/>
              <w:textAlignment w:val="center"/>
              <w:rPr>
                <w:rStyle w:val="22"/>
                <w:rFonts w:hint="default" w:ascii="Times New Roman" w:hAnsi="Times New Roman" w:cs="Times New Roman"/>
                <w:sz w:val="21"/>
                <w:szCs w:val="21"/>
                <w:lang w:val="en-US" w:eastAsia="zh-CN" w:bidi="ar"/>
              </w:rPr>
            </w:pPr>
            <w:r>
              <w:rPr>
                <w:rStyle w:val="22"/>
                <w:rFonts w:hint="default" w:ascii="Times New Roman" w:hAnsi="Times New Roman" w:cs="Times New Roman"/>
                <w:sz w:val="21"/>
                <w:szCs w:val="21"/>
                <w:lang w:val="en-US" w:eastAsia="zh-CN" w:bidi="ar"/>
              </w:rPr>
              <w:t>②完善综合业务数据和信息管理系统；</w:t>
            </w:r>
          </w:p>
          <w:p>
            <w:pPr>
              <w:keepNext w:val="0"/>
              <w:keepLines w:val="0"/>
              <w:widowControl/>
              <w:suppressLineNumbers w:val="0"/>
              <w:jc w:val="both"/>
              <w:textAlignment w:val="center"/>
              <w:rPr>
                <w:rFonts w:hint="default" w:ascii="Times New Roman" w:hAnsi="Times New Roman" w:eastAsia="宋体" w:cs="Times New Roman"/>
                <w:i w:val="0"/>
                <w:color w:val="000000"/>
                <w:kern w:val="0"/>
                <w:sz w:val="21"/>
                <w:szCs w:val="21"/>
                <w:u w:val="none"/>
                <w:lang w:val="en-US" w:eastAsia="zh-CN" w:bidi="ar"/>
              </w:rPr>
            </w:pPr>
            <w:r>
              <w:rPr>
                <w:rStyle w:val="22"/>
                <w:rFonts w:hint="default" w:ascii="Times New Roman" w:hAnsi="Times New Roman" w:cs="Times New Roman"/>
                <w:sz w:val="21"/>
                <w:szCs w:val="21"/>
                <w:lang w:val="en-US" w:eastAsia="zh-CN" w:bidi="ar"/>
              </w:rPr>
              <w:t>③加强基础统计管理和推广信息无障碍技术应用。</w:t>
            </w:r>
          </w:p>
        </w:tc>
        <w:tc>
          <w:tcPr>
            <w:tcW w:w="2431"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1"/>
                <w:szCs w:val="21"/>
                <w:u w:val="none"/>
                <w:lang w:val="en-US" w:eastAsia="zh-CN" w:bidi="ar"/>
              </w:rPr>
            </w:pPr>
            <w:r>
              <w:rPr>
                <w:rStyle w:val="22"/>
                <w:rFonts w:hint="default" w:ascii="Times New Roman" w:hAnsi="Times New Roman" w:cs="Times New Roman"/>
                <w:sz w:val="21"/>
                <w:szCs w:val="21"/>
                <w:lang w:val="en-US" w:eastAsia="zh-CN" w:bidi="ar"/>
              </w:rPr>
              <w:t>网络和信息资源安全稳定记</w:t>
            </w:r>
            <w:r>
              <w:rPr>
                <w:rStyle w:val="23"/>
                <w:rFonts w:hint="eastAsia" w:ascii="Times New Roman" w:hAnsi="Times New Roman" w:eastAsia="宋体" w:cs="Times New Roman"/>
                <w:sz w:val="21"/>
                <w:szCs w:val="21"/>
                <w:lang w:val="en-US" w:eastAsia="zh-CN" w:bidi="ar"/>
              </w:rPr>
              <w:t>1</w:t>
            </w:r>
            <w:r>
              <w:rPr>
                <w:rStyle w:val="22"/>
                <w:rFonts w:hint="default" w:ascii="Times New Roman" w:hAnsi="Times New Roman" w:cs="Times New Roman"/>
                <w:sz w:val="21"/>
                <w:szCs w:val="21"/>
                <w:lang w:val="en-US" w:eastAsia="zh-CN" w:bidi="ar"/>
              </w:rPr>
              <w:t>分。出现故障影响安全不得分。</w:t>
            </w:r>
          </w:p>
        </w:tc>
        <w:tc>
          <w:tcPr>
            <w:tcW w:w="2672"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和主管局签署的目标责任状</w:t>
            </w:r>
          </w:p>
        </w:tc>
        <w:tc>
          <w:tcPr>
            <w:tcW w:w="905"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eastAsia="宋体" w:cs="Times New Roman"/>
                <w:i w:val="0"/>
                <w:color w:val="000000"/>
                <w:sz w:val="21"/>
                <w:szCs w:val="21"/>
                <w:u w:val="none"/>
                <w:lang w:val="en-US" w:eastAsia="zh-CN"/>
              </w:rPr>
              <w:t>1</w:t>
            </w:r>
          </w:p>
        </w:tc>
        <w:tc>
          <w:tcPr>
            <w:tcW w:w="800"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cs="Times New Roman"/>
                <w:i w:val="0"/>
                <w:color w:val="000000"/>
                <w:sz w:val="21"/>
                <w:szCs w:val="21"/>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0" w:hRule="atLeast"/>
        </w:trPr>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262"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部门工作创新</w:t>
            </w:r>
            <w:r>
              <w:rPr>
                <w:rFonts w:hint="default" w:ascii="Times New Roman" w:hAnsi="Times New Roman" w:eastAsia="宋体" w:cs="Times New Roman"/>
                <w:i w:val="0"/>
                <w:color w:val="000000"/>
                <w:kern w:val="0"/>
                <w:sz w:val="21"/>
                <w:szCs w:val="21"/>
                <w:u w:val="none"/>
                <w:lang w:val="en-US" w:eastAsia="zh-CN" w:bidi="ar"/>
              </w:rPr>
              <w:t>（</w:t>
            </w:r>
            <w:r>
              <w:rPr>
                <w:rFonts w:hint="eastAsia" w:ascii="Times New Roman" w:hAnsi="Times New Roman"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分）</w:t>
            </w:r>
          </w:p>
        </w:tc>
        <w:tc>
          <w:tcPr>
            <w:tcW w:w="1091"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有</w:t>
            </w:r>
          </w:p>
        </w:tc>
        <w:tc>
          <w:tcPr>
            <w:tcW w:w="3099"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sz w:val="21"/>
                <w:szCs w:val="21"/>
                <w:u w:val="none"/>
                <w:lang w:eastAsia="zh-CN"/>
              </w:rPr>
              <w:t>该指标为定性指标，通过核查部门推进管理创新措施及进展情况来评价。</w:t>
            </w:r>
          </w:p>
          <w:p>
            <w:pPr>
              <w:keepNext w:val="0"/>
              <w:keepLines w:val="0"/>
              <w:widowControl/>
              <w:suppressLineNumbers w:val="0"/>
              <w:jc w:val="both"/>
              <w:textAlignment w:val="center"/>
              <w:rPr>
                <w:rStyle w:val="22"/>
                <w:rFonts w:hint="default" w:ascii="Times New Roman" w:hAnsi="Times New Roman" w:cs="Times New Roman"/>
                <w:sz w:val="21"/>
                <w:szCs w:val="21"/>
                <w:lang w:val="en-US" w:eastAsia="zh-CN" w:bidi="ar"/>
              </w:rPr>
            </w:pPr>
            <w:r>
              <w:rPr>
                <w:rStyle w:val="22"/>
                <w:rFonts w:hint="default" w:ascii="Times New Roman" w:hAnsi="Times New Roman" w:cs="Times New Roman"/>
                <w:sz w:val="21"/>
                <w:szCs w:val="21"/>
                <w:lang w:val="en-US" w:eastAsia="zh-CN" w:bidi="ar"/>
              </w:rPr>
              <w:t>①部门有鼓励创新的机制；</w:t>
            </w:r>
          </w:p>
          <w:p>
            <w:pPr>
              <w:keepNext w:val="0"/>
              <w:keepLines w:val="0"/>
              <w:widowControl/>
              <w:suppressLineNumbers w:val="0"/>
              <w:jc w:val="both"/>
              <w:textAlignment w:val="center"/>
              <w:rPr>
                <w:rStyle w:val="22"/>
                <w:rFonts w:hint="default" w:ascii="Times New Roman" w:hAnsi="Times New Roman" w:cs="Times New Roman"/>
                <w:sz w:val="21"/>
                <w:szCs w:val="21"/>
                <w:lang w:val="en-US" w:eastAsia="zh-CN" w:bidi="ar"/>
              </w:rPr>
            </w:pPr>
            <w:r>
              <w:rPr>
                <w:rStyle w:val="22"/>
                <w:rFonts w:hint="default" w:ascii="Times New Roman" w:hAnsi="Times New Roman" w:cs="Times New Roman"/>
                <w:sz w:val="21"/>
                <w:szCs w:val="21"/>
                <w:lang w:val="en-US" w:eastAsia="zh-CN" w:bidi="ar"/>
              </w:rPr>
              <w:t>②评价当年部门出台创新管理举措；</w:t>
            </w:r>
          </w:p>
          <w:p>
            <w:pPr>
              <w:keepNext w:val="0"/>
              <w:keepLines w:val="0"/>
              <w:widowControl/>
              <w:suppressLineNumbers w:val="0"/>
              <w:jc w:val="both"/>
              <w:textAlignment w:val="center"/>
              <w:rPr>
                <w:rFonts w:hint="default" w:ascii="Times New Roman" w:hAnsi="Times New Roman" w:eastAsia="宋体" w:cs="Times New Roman"/>
                <w:i w:val="0"/>
                <w:color w:val="000000"/>
                <w:kern w:val="0"/>
                <w:sz w:val="21"/>
                <w:szCs w:val="21"/>
                <w:u w:val="none"/>
                <w:lang w:val="en-US" w:eastAsia="zh-CN" w:bidi="ar"/>
              </w:rPr>
            </w:pPr>
            <w:r>
              <w:rPr>
                <w:rStyle w:val="22"/>
                <w:rFonts w:hint="default" w:ascii="Times New Roman" w:hAnsi="Times New Roman" w:cs="Times New Roman"/>
                <w:sz w:val="21"/>
                <w:szCs w:val="21"/>
                <w:lang w:val="en-US" w:eastAsia="zh-CN" w:bidi="ar"/>
              </w:rPr>
              <w:t>①健全完善信访维稳应急预案和工作机制。</w:t>
            </w:r>
          </w:p>
        </w:tc>
        <w:tc>
          <w:tcPr>
            <w:tcW w:w="2431"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sz w:val="21"/>
                <w:szCs w:val="21"/>
                <w:u w:val="none"/>
                <w:lang w:eastAsia="zh-CN"/>
              </w:rPr>
              <w:t>创新有机制、有平台、有完善方案记</w:t>
            </w:r>
            <w:r>
              <w:rPr>
                <w:rFonts w:hint="eastAsia" w:ascii="Times New Roman" w:hAnsi="Times New Roman" w:cs="Times New Roman"/>
                <w:i w:val="0"/>
                <w:color w:val="000000"/>
                <w:sz w:val="21"/>
                <w:szCs w:val="21"/>
                <w:u w:val="none"/>
                <w:lang w:val="en-US" w:eastAsia="zh-CN"/>
              </w:rPr>
              <w:t>2</w:t>
            </w:r>
            <w:r>
              <w:rPr>
                <w:rFonts w:hint="default" w:ascii="Times New Roman" w:hAnsi="Times New Roman" w:eastAsia="宋体" w:cs="Times New Roman"/>
                <w:i w:val="0"/>
                <w:color w:val="000000"/>
                <w:sz w:val="21"/>
                <w:szCs w:val="21"/>
                <w:u w:val="none"/>
                <w:lang w:val="en-US" w:eastAsia="zh-CN"/>
              </w:rPr>
              <w:t>分，否则不得分。</w:t>
            </w:r>
          </w:p>
        </w:tc>
        <w:tc>
          <w:tcPr>
            <w:tcW w:w="2672"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和主管局签署的目标责任状</w:t>
            </w:r>
          </w:p>
        </w:tc>
        <w:tc>
          <w:tcPr>
            <w:tcW w:w="905"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cs="Times New Roman"/>
                <w:i w:val="0"/>
                <w:color w:val="000000"/>
                <w:sz w:val="21"/>
                <w:szCs w:val="21"/>
                <w:u w:val="none"/>
                <w:lang w:val="en-US" w:eastAsia="zh-CN"/>
              </w:rPr>
              <w:t>2</w:t>
            </w:r>
          </w:p>
        </w:tc>
        <w:tc>
          <w:tcPr>
            <w:tcW w:w="800"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cs="Times New Roman"/>
                <w:i w:val="0"/>
                <w:color w:val="000000"/>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000000"/>
                <w:sz w:val="21"/>
                <w:szCs w:val="21"/>
                <w:u w:val="none"/>
              </w:rPr>
            </w:pPr>
          </w:p>
        </w:tc>
        <w:tc>
          <w:tcPr>
            <w:tcW w:w="1262"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年终考评等级</w:t>
            </w:r>
            <w:r>
              <w:rPr>
                <w:rFonts w:hint="default" w:ascii="Times New Roman" w:hAnsi="Times New Roman" w:eastAsia="宋体" w:cs="Times New Roman"/>
                <w:i w:val="0"/>
                <w:color w:val="000000"/>
                <w:kern w:val="0"/>
                <w:sz w:val="21"/>
                <w:szCs w:val="21"/>
                <w:u w:val="none"/>
                <w:lang w:val="en-US" w:eastAsia="zh-CN" w:bidi="ar"/>
              </w:rPr>
              <w:t>（2分）</w:t>
            </w:r>
          </w:p>
        </w:tc>
        <w:tc>
          <w:tcPr>
            <w:tcW w:w="1091"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一等奖</w:t>
            </w:r>
          </w:p>
        </w:tc>
        <w:tc>
          <w:tcPr>
            <w:tcW w:w="3099"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1"/>
                <w:szCs w:val="21"/>
                <w:u w:val="none"/>
                <w:lang w:val="en-US" w:eastAsia="zh-CN" w:bidi="ar"/>
              </w:rPr>
            </w:pPr>
            <w:r>
              <w:rPr>
                <w:rStyle w:val="22"/>
                <w:rFonts w:hint="default" w:ascii="Times New Roman" w:hAnsi="Times New Roman" w:cs="Times New Roman"/>
                <w:sz w:val="21"/>
                <w:szCs w:val="21"/>
                <w:lang w:val="en-US" w:eastAsia="zh-CN" w:bidi="ar"/>
              </w:rPr>
              <w:t>考察部门工作在市级机关绩效考评中的等级情况</w:t>
            </w:r>
          </w:p>
        </w:tc>
        <w:tc>
          <w:tcPr>
            <w:tcW w:w="2431"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一等奖记2分，二等奖记1分，三等奖及未获奖不得分。</w:t>
            </w:r>
          </w:p>
        </w:tc>
        <w:tc>
          <w:tcPr>
            <w:tcW w:w="2672"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sz w:val="21"/>
                <w:szCs w:val="21"/>
                <w:u w:val="none"/>
              </w:rPr>
              <w:t>和主管局签署的目标责任状</w:t>
            </w:r>
          </w:p>
        </w:tc>
        <w:tc>
          <w:tcPr>
            <w:tcW w:w="905"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default" w:ascii="Times New Roman" w:hAnsi="Times New Roman" w:eastAsia="宋体" w:cs="Times New Roman"/>
                <w:i w:val="0"/>
                <w:color w:val="000000"/>
                <w:sz w:val="21"/>
                <w:szCs w:val="21"/>
                <w:u w:val="none"/>
                <w:lang w:val="en-US" w:eastAsia="zh-CN"/>
              </w:rPr>
              <w:t>2</w:t>
            </w:r>
          </w:p>
        </w:tc>
        <w:tc>
          <w:tcPr>
            <w:tcW w:w="800"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lang w:val="en-US" w:eastAsia="zh-CN"/>
              </w:rPr>
            </w:pPr>
            <w:r>
              <w:rPr>
                <w:rFonts w:hint="default" w:ascii="Times New Roman" w:hAnsi="Times New Roman" w:cs="Times New Roman"/>
                <w:i w:val="0"/>
                <w:color w:val="000000"/>
                <w:sz w:val="21"/>
                <w:szCs w:val="21"/>
                <w:u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7" w:hRule="atLeast"/>
        </w:trPr>
        <w:tc>
          <w:tcPr>
            <w:tcW w:w="1010" w:type="dxa"/>
            <w:vMerge w:val="restart"/>
            <w:noWrap w:val="0"/>
            <w:tcMar>
              <w:top w:w="15" w:type="dxa"/>
              <w:left w:w="15" w:type="dxa"/>
              <w:right w:w="15" w:type="dxa"/>
            </w:tcMar>
            <w:vAlign w:val="center"/>
          </w:tcPr>
          <w:p>
            <w:pPr>
              <w:jc w:val="center"/>
              <w:rPr>
                <w:rFonts w:hint="default" w:ascii="Times New Roman" w:hAnsi="Times New Roman" w:eastAsia="宋体" w:cs="Times New Roman"/>
                <w:i w:val="0"/>
                <w:color w:val="auto"/>
                <w:sz w:val="21"/>
                <w:szCs w:val="21"/>
                <w:u w:val="none"/>
                <w:shd w:val="clear" w:color="auto" w:fill="auto"/>
              </w:rPr>
            </w:pPr>
            <w:r>
              <w:rPr>
                <w:rFonts w:hint="default" w:ascii="Times New Roman" w:hAnsi="Times New Roman" w:eastAsia="宋体" w:cs="Times New Roman"/>
                <w:i w:val="0"/>
                <w:color w:val="auto"/>
                <w:sz w:val="21"/>
                <w:szCs w:val="21"/>
                <w:u w:val="none"/>
                <w:shd w:val="clear" w:color="auto" w:fill="auto"/>
              </w:rPr>
              <w:t>部门</w:t>
            </w:r>
          </w:p>
          <w:p>
            <w:pPr>
              <w:jc w:val="center"/>
              <w:rPr>
                <w:rFonts w:hint="default" w:ascii="Times New Roman" w:hAnsi="Times New Roman" w:eastAsia="宋体" w:cs="Times New Roman"/>
                <w:i w:val="0"/>
                <w:color w:val="auto"/>
                <w:sz w:val="21"/>
                <w:szCs w:val="21"/>
                <w:u w:val="none"/>
                <w:shd w:val="clear" w:color="auto" w:fill="auto"/>
              </w:rPr>
            </w:pPr>
            <w:r>
              <w:rPr>
                <w:rFonts w:hint="default" w:ascii="Times New Roman" w:hAnsi="Times New Roman" w:eastAsia="宋体" w:cs="Times New Roman"/>
                <w:i w:val="0"/>
                <w:color w:val="auto"/>
                <w:sz w:val="21"/>
                <w:szCs w:val="21"/>
                <w:u w:val="none"/>
                <w:shd w:val="clear" w:color="auto" w:fill="auto"/>
              </w:rPr>
              <w:t>履职</w:t>
            </w:r>
          </w:p>
          <w:p>
            <w:pPr>
              <w:jc w:val="center"/>
              <w:rPr>
                <w:rFonts w:hint="default" w:ascii="Times New Roman" w:hAnsi="Times New Roman" w:eastAsia="宋体" w:cs="Times New Roman"/>
                <w:i w:val="0"/>
                <w:color w:val="auto"/>
                <w:sz w:val="21"/>
                <w:szCs w:val="21"/>
                <w:u w:val="none"/>
                <w:shd w:val="clear" w:color="auto" w:fill="auto"/>
                <w:lang w:eastAsia="zh-CN"/>
              </w:rPr>
            </w:pPr>
            <w:r>
              <w:rPr>
                <w:rFonts w:hint="default" w:ascii="Times New Roman" w:hAnsi="Times New Roman" w:eastAsia="宋体" w:cs="Times New Roman"/>
                <w:i w:val="0"/>
                <w:color w:val="auto"/>
                <w:sz w:val="21"/>
                <w:szCs w:val="21"/>
                <w:u w:val="none"/>
                <w:shd w:val="clear" w:color="auto" w:fill="auto"/>
                <w:lang w:eastAsia="zh-CN"/>
              </w:rPr>
              <w:t>（</w:t>
            </w:r>
            <w:r>
              <w:rPr>
                <w:rFonts w:hint="eastAsia" w:ascii="Times New Roman" w:hAnsi="Times New Roman" w:eastAsia="宋体" w:cs="Times New Roman"/>
                <w:i w:val="0"/>
                <w:color w:val="auto"/>
                <w:sz w:val="21"/>
                <w:szCs w:val="21"/>
                <w:u w:val="none"/>
                <w:shd w:val="clear" w:color="auto" w:fill="auto"/>
                <w:lang w:val="en-US" w:eastAsia="zh-CN"/>
              </w:rPr>
              <w:t>7</w:t>
            </w:r>
            <w:r>
              <w:rPr>
                <w:rFonts w:hint="default" w:ascii="Times New Roman" w:hAnsi="Times New Roman" w:eastAsia="宋体" w:cs="Times New Roman"/>
                <w:i w:val="0"/>
                <w:color w:val="auto"/>
                <w:sz w:val="21"/>
                <w:szCs w:val="21"/>
                <w:u w:val="none"/>
                <w:shd w:val="clear" w:color="auto" w:fill="auto"/>
                <w:lang w:val="en-US" w:eastAsia="zh-CN"/>
              </w:rPr>
              <w:t>0分</w:t>
            </w:r>
            <w:r>
              <w:rPr>
                <w:rFonts w:hint="default" w:ascii="Times New Roman" w:hAnsi="Times New Roman" w:eastAsia="宋体" w:cs="Times New Roman"/>
                <w:i w:val="0"/>
                <w:color w:val="auto"/>
                <w:sz w:val="21"/>
                <w:szCs w:val="21"/>
                <w:u w:val="none"/>
                <w:shd w:val="clear" w:color="auto" w:fill="auto"/>
                <w:lang w:eastAsia="zh-CN"/>
              </w:rPr>
              <w:t>）</w:t>
            </w:r>
          </w:p>
        </w:tc>
        <w:tc>
          <w:tcPr>
            <w:tcW w:w="1010" w:type="dxa"/>
            <w:noWrap w:val="0"/>
            <w:tcMar>
              <w:top w:w="15" w:type="dxa"/>
              <w:left w:w="15" w:type="dxa"/>
              <w:right w:w="15" w:type="dxa"/>
            </w:tcMar>
            <w:vAlign w:val="center"/>
          </w:tcPr>
          <w:p>
            <w:pPr>
              <w:ind w:left="0" w:leftChars="0" w:firstLine="0" w:firstLineChars="0"/>
              <w:jc w:val="both"/>
              <w:rPr>
                <w:rFonts w:hint="default" w:ascii="Times New Roman" w:hAnsi="Times New Roman" w:eastAsia="宋体" w:cs="Times New Roman"/>
                <w:i w:val="0"/>
                <w:color w:val="auto"/>
                <w:sz w:val="21"/>
                <w:szCs w:val="21"/>
                <w:u w:val="none"/>
                <w:shd w:val="clear" w:color="auto" w:fill="auto"/>
              </w:rPr>
            </w:pPr>
            <w:r>
              <w:rPr>
                <w:rFonts w:hint="default" w:ascii="Times New Roman" w:hAnsi="Times New Roman" w:eastAsia="宋体" w:cs="Times New Roman"/>
                <w:i w:val="0"/>
                <w:color w:val="auto"/>
                <w:sz w:val="21"/>
                <w:szCs w:val="21"/>
                <w:u w:val="none"/>
                <w:shd w:val="clear" w:color="auto" w:fill="auto"/>
              </w:rPr>
              <w:t>职能1：为</w:t>
            </w:r>
            <w:r>
              <w:rPr>
                <w:rFonts w:hint="eastAsia" w:ascii="Times New Roman" w:hAnsi="Times New Roman" w:cs="Times New Roman"/>
                <w:i w:val="0"/>
                <w:color w:val="auto"/>
                <w:sz w:val="21"/>
                <w:szCs w:val="21"/>
                <w:u w:val="none"/>
                <w:shd w:val="clear" w:color="auto" w:fill="auto"/>
                <w:lang w:val="en-US" w:eastAsia="zh-CN"/>
              </w:rPr>
              <w:t>散装水泥行业发展</w:t>
            </w:r>
            <w:r>
              <w:rPr>
                <w:rFonts w:hint="default" w:ascii="Times New Roman" w:hAnsi="Times New Roman" w:eastAsia="宋体" w:cs="Times New Roman"/>
                <w:i w:val="0"/>
                <w:color w:val="auto"/>
                <w:sz w:val="21"/>
                <w:szCs w:val="21"/>
                <w:u w:val="none"/>
                <w:shd w:val="clear" w:color="auto" w:fill="auto"/>
              </w:rPr>
              <w:t>提供辅助工作</w:t>
            </w:r>
          </w:p>
        </w:tc>
        <w:tc>
          <w:tcPr>
            <w:tcW w:w="1262" w:type="dxa"/>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u w:val="none"/>
                <w:shd w:val="clear" w:color="auto" w:fill="auto"/>
              </w:rPr>
            </w:pPr>
            <w:r>
              <w:rPr>
                <w:rFonts w:hint="default" w:ascii="Times New Roman" w:hAnsi="Times New Roman" w:eastAsia="宋体" w:cs="Times New Roman"/>
                <w:i w:val="0"/>
                <w:color w:val="auto"/>
                <w:sz w:val="21"/>
                <w:szCs w:val="21"/>
                <w:u w:val="none"/>
                <w:shd w:val="clear" w:color="auto" w:fill="auto"/>
              </w:rPr>
              <w:t>目标1：组织召开</w:t>
            </w:r>
            <w:r>
              <w:rPr>
                <w:rFonts w:hint="eastAsia" w:ascii="Times New Roman" w:hAnsi="Times New Roman" w:cs="Times New Roman"/>
                <w:i w:val="0"/>
                <w:color w:val="auto"/>
                <w:sz w:val="21"/>
                <w:szCs w:val="21"/>
                <w:u w:val="none"/>
                <w:shd w:val="clear" w:color="auto" w:fill="auto"/>
                <w:lang w:val="en-US" w:eastAsia="zh-CN"/>
              </w:rPr>
              <w:t>散装水泥报表统计</w:t>
            </w:r>
            <w:r>
              <w:rPr>
                <w:rFonts w:hint="default" w:ascii="Times New Roman" w:hAnsi="Times New Roman" w:eastAsia="宋体" w:cs="Times New Roman"/>
                <w:i w:val="0"/>
                <w:color w:val="auto"/>
                <w:sz w:val="21"/>
                <w:szCs w:val="21"/>
                <w:u w:val="none"/>
                <w:shd w:val="clear" w:color="auto" w:fill="auto"/>
              </w:rPr>
              <w:t>业务培训</w:t>
            </w:r>
          </w:p>
        </w:tc>
        <w:tc>
          <w:tcPr>
            <w:tcW w:w="1091"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auto"/>
                <w:sz w:val="21"/>
                <w:szCs w:val="21"/>
                <w:u w:val="none"/>
                <w:shd w:val="clear" w:color="auto" w:fill="auto"/>
                <w:lang w:val="en-US" w:eastAsia="zh-CN"/>
              </w:rPr>
            </w:pPr>
            <w:r>
              <w:rPr>
                <w:rFonts w:hint="eastAsia" w:ascii="Times New Roman" w:hAnsi="Times New Roman" w:cs="Times New Roman"/>
                <w:i w:val="0"/>
                <w:color w:val="auto"/>
                <w:sz w:val="21"/>
                <w:szCs w:val="21"/>
                <w:u w:val="none"/>
                <w:shd w:val="clear" w:color="auto" w:fill="auto"/>
                <w:lang w:val="en-US" w:eastAsia="zh-CN"/>
              </w:rPr>
              <w:t>100%</w:t>
            </w:r>
          </w:p>
        </w:tc>
        <w:tc>
          <w:tcPr>
            <w:tcW w:w="3099"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kern w:val="0"/>
                <w:sz w:val="21"/>
                <w:szCs w:val="21"/>
                <w:u w:val="none"/>
                <w:shd w:val="clear" w:color="auto" w:fill="auto"/>
                <w:lang w:val="en-US" w:eastAsia="zh-CN" w:bidi="ar"/>
              </w:rPr>
            </w:pPr>
            <w:r>
              <w:rPr>
                <w:rFonts w:hint="default" w:ascii="Times New Roman" w:hAnsi="Times New Roman" w:eastAsia="宋体" w:cs="Times New Roman"/>
                <w:i w:val="0"/>
                <w:color w:val="auto"/>
                <w:sz w:val="21"/>
                <w:szCs w:val="21"/>
                <w:u w:val="none"/>
                <w:shd w:val="clear" w:color="auto" w:fill="auto"/>
              </w:rPr>
              <w:t>组织召开</w:t>
            </w:r>
            <w:r>
              <w:rPr>
                <w:rFonts w:hint="eastAsia" w:ascii="Times New Roman" w:hAnsi="Times New Roman" w:cs="Times New Roman"/>
                <w:i w:val="0"/>
                <w:color w:val="auto"/>
                <w:sz w:val="21"/>
                <w:szCs w:val="21"/>
                <w:u w:val="none"/>
                <w:shd w:val="clear" w:color="auto" w:fill="auto"/>
                <w:lang w:val="en-US" w:eastAsia="zh-CN"/>
              </w:rPr>
              <w:t>散装水泥报表统计</w:t>
            </w:r>
            <w:r>
              <w:rPr>
                <w:rFonts w:hint="default" w:ascii="Times New Roman" w:hAnsi="Times New Roman" w:eastAsia="宋体" w:cs="Times New Roman"/>
                <w:i w:val="0"/>
                <w:color w:val="auto"/>
                <w:sz w:val="21"/>
                <w:szCs w:val="21"/>
                <w:u w:val="none"/>
                <w:shd w:val="clear" w:color="auto" w:fill="auto"/>
              </w:rPr>
              <w:t>业务培训</w:t>
            </w:r>
            <w:r>
              <w:rPr>
                <w:rFonts w:hint="eastAsia" w:ascii="Times New Roman" w:hAnsi="Times New Roman" w:cs="Times New Roman"/>
                <w:i w:val="0"/>
                <w:color w:val="auto"/>
                <w:sz w:val="21"/>
                <w:szCs w:val="21"/>
                <w:u w:val="none"/>
                <w:shd w:val="clear" w:color="auto" w:fill="auto"/>
                <w:lang w:eastAsia="zh-CN"/>
              </w:rPr>
              <w:t>，</w:t>
            </w:r>
            <w:r>
              <w:rPr>
                <w:rFonts w:hint="eastAsia" w:ascii="Times New Roman" w:hAnsi="Times New Roman" w:cs="Times New Roman"/>
                <w:i w:val="0"/>
                <w:color w:val="auto"/>
                <w:sz w:val="21"/>
                <w:szCs w:val="21"/>
                <w:u w:val="none"/>
                <w:shd w:val="clear" w:color="auto" w:fill="auto"/>
                <w:lang w:val="en-US" w:eastAsia="zh-CN"/>
              </w:rPr>
              <w:t>提高行业从业人员的专业素质以便提供更加准确的辅助工作。</w:t>
            </w:r>
          </w:p>
        </w:tc>
        <w:tc>
          <w:tcPr>
            <w:tcW w:w="2431"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kern w:val="0"/>
                <w:sz w:val="21"/>
                <w:szCs w:val="21"/>
                <w:u w:val="none"/>
                <w:shd w:val="clear" w:color="auto" w:fill="auto"/>
                <w:lang w:val="en-US" w:eastAsia="zh-CN" w:bidi="ar"/>
              </w:rPr>
            </w:pPr>
            <w:r>
              <w:rPr>
                <w:rFonts w:hint="eastAsia" w:ascii="Times New Roman" w:hAnsi="Times New Roman" w:cs="Times New Roman"/>
                <w:i w:val="0"/>
                <w:color w:val="auto"/>
                <w:sz w:val="21"/>
                <w:szCs w:val="21"/>
                <w:u w:val="none"/>
                <w:shd w:val="clear" w:color="auto" w:fill="auto"/>
                <w:lang w:val="en-US" w:eastAsia="zh-CN"/>
              </w:rPr>
              <w:t>定期</w:t>
            </w:r>
            <w:r>
              <w:rPr>
                <w:rFonts w:hint="default" w:ascii="Times New Roman" w:hAnsi="Times New Roman" w:eastAsia="宋体" w:cs="Times New Roman"/>
                <w:i w:val="0"/>
                <w:color w:val="auto"/>
                <w:sz w:val="21"/>
                <w:szCs w:val="21"/>
                <w:u w:val="none"/>
                <w:shd w:val="clear" w:color="auto" w:fill="auto"/>
              </w:rPr>
              <w:t>召开</w:t>
            </w:r>
            <w:r>
              <w:rPr>
                <w:rFonts w:hint="eastAsia" w:ascii="Times New Roman" w:hAnsi="Times New Roman" w:cs="Times New Roman"/>
                <w:i w:val="0"/>
                <w:color w:val="auto"/>
                <w:sz w:val="21"/>
                <w:szCs w:val="21"/>
                <w:u w:val="none"/>
                <w:shd w:val="clear" w:color="auto" w:fill="auto"/>
                <w:lang w:val="en-US" w:eastAsia="zh-CN"/>
              </w:rPr>
              <w:t>散装水泥报表统计</w:t>
            </w:r>
            <w:r>
              <w:rPr>
                <w:rFonts w:hint="default" w:ascii="Times New Roman" w:hAnsi="Times New Roman" w:eastAsia="宋体" w:cs="Times New Roman"/>
                <w:i w:val="0"/>
                <w:color w:val="auto"/>
                <w:sz w:val="21"/>
                <w:szCs w:val="21"/>
                <w:u w:val="none"/>
                <w:shd w:val="clear" w:color="auto" w:fill="auto"/>
              </w:rPr>
              <w:t>培训</w:t>
            </w:r>
            <w:r>
              <w:rPr>
                <w:rFonts w:hint="eastAsia" w:ascii="Times New Roman" w:hAnsi="Times New Roman" w:cs="Times New Roman"/>
                <w:i w:val="0"/>
                <w:color w:val="auto"/>
                <w:sz w:val="21"/>
                <w:szCs w:val="21"/>
                <w:u w:val="none"/>
                <w:shd w:val="clear" w:color="auto" w:fill="auto"/>
                <w:lang w:eastAsia="zh-CN"/>
              </w:rPr>
              <w:t>，</w:t>
            </w:r>
            <w:r>
              <w:rPr>
                <w:rFonts w:hint="eastAsia" w:ascii="Times New Roman" w:hAnsi="Times New Roman" w:cs="Times New Roman"/>
                <w:i w:val="0"/>
                <w:color w:val="auto"/>
                <w:sz w:val="21"/>
                <w:szCs w:val="21"/>
                <w:u w:val="none"/>
                <w:shd w:val="clear" w:color="auto" w:fill="auto"/>
                <w:lang w:val="en-US" w:eastAsia="zh-CN"/>
              </w:rPr>
              <w:t>成功召开且参加培训人员接收度高</w:t>
            </w:r>
            <w:r>
              <w:rPr>
                <w:rFonts w:hint="default" w:ascii="Times New Roman" w:hAnsi="Times New Roman" w:eastAsia="宋体" w:cs="Times New Roman"/>
                <w:i w:val="0"/>
                <w:color w:val="auto"/>
                <w:sz w:val="21"/>
                <w:szCs w:val="21"/>
                <w:u w:val="none"/>
                <w:shd w:val="clear" w:color="auto" w:fill="auto"/>
                <w:lang w:eastAsia="zh-CN"/>
              </w:rPr>
              <w:t>记</w:t>
            </w:r>
            <w:r>
              <w:rPr>
                <w:rFonts w:hint="eastAsia" w:ascii="Times New Roman" w:hAnsi="Times New Roman" w:eastAsia="宋体" w:cs="Times New Roman"/>
                <w:i w:val="0"/>
                <w:color w:val="auto"/>
                <w:sz w:val="21"/>
                <w:szCs w:val="21"/>
                <w:u w:val="none"/>
                <w:shd w:val="clear" w:color="auto" w:fill="auto"/>
                <w:lang w:val="en-US" w:eastAsia="zh-CN"/>
              </w:rPr>
              <w:t>6</w:t>
            </w:r>
            <w:r>
              <w:rPr>
                <w:rFonts w:hint="default" w:ascii="Times New Roman" w:hAnsi="Times New Roman" w:eastAsia="宋体" w:cs="Times New Roman"/>
                <w:i w:val="0"/>
                <w:color w:val="auto"/>
                <w:sz w:val="21"/>
                <w:szCs w:val="21"/>
                <w:u w:val="none"/>
                <w:shd w:val="clear" w:color="auto" w:fill="auto"/>
                <w:lang w:val="en-US" w:eastAsia="zh-CN"/>
              </w:rPr>
              <w:t>分，一项不合规扣1分，累计扣完为止。</w:t>
            </w:r>
          </w:p>
        </w:tc>
        <w:tc>
          <w:tcPr>
            <w:tcW w:w="2672"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u w:val="none"/>
                <w:shd w:val="clear" w:color="auto" w:fill="auto"/>
              </w:rPr>
            </w:pPr>
            <w:r>
              <w:rPr>
                <w:rFonts w:hint="eastAsia" w:ascii="Times New Roman" w:hAnsi="Times New Roman" w:cs="Times New Roman"/>
                <w:i w:val="0"/>
                <w:color w:val="auto"/>
                <w:sz w:val="21"/>
                <w:szCs w:val="21"/>
                <w:u w:val="none"/>
                <w:shd w:val="clear" w:color="auto" w:fill="auto"/>
                <w:lang w:val="en-US" w:eastAsia="zh-CN"/>
              </w:rPr>
              <w:t>江苏省散装水泥促进</w:t>
            </w:r>
            <w:r>
              <w:rPr>
                <w:rFonts w:hint="default" w:ascii="Times New Roman" w:hAnsi="Times New Roman" w:eastAsia="宋体" w:cs="Times New Roman"/>
                <w:i w:val="0"/>
                <w:color w:val="auto"/>
                <w:sz w:val="21"/>
                <w:szCs w:val="21"/>
                <w:u w:val="none"/>
                <w:shd w:val="clear" w:color="auto" w:fill="auto"/>
              </w:rPr>
              <w:t>条例</w:t>
            </w:r>
          </w:p>
        </w:tc>
        <w:tc>
          <w:tcPr>
            <w:tcW w:w="905"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auto"/>
                <w:sz w:val="21"/>
                <w:szCs w:val="21"/>
                <w:u w:val="none"/>
                <w:shd w:val="clear" w:color="auto" w:fill="auto"/>
                <w:lang w:val="en-US" w:eastAsia="zh-CN"/>
              </w:rPr>
            </w:pPr>
            <w:r>
              <w:rPr>
                <w:rFonts w:hint="eastAsia" w:ascii="Times New Roman" w:hAnsi="Times New Roman" w:cs="Times New Roman"/>
                <w:i w:val="0"/>
                <w:color w:val="auto"/>
                <w:sz w:val="21"/>
                <w:szCs w:val="21"/>
                <w:u w:val="none"/>
                <w:shd w:val="clear" w:color="auto" w:fill="auto"/>
                <w:lang w:val="en-US" w:eastAsia="zh-CN"/>
              </w:rPr>
              <w:t>20</w:t>
            </w:r>
          </w:p>
        </w:tc>
        <w:tc>
          <w:tcPr>
            <w:tcW w:w="800"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auto"/>
                <w:sz w:val="21"/>
                <w:szCs w:val="21"/>
                <w:u w:val="none"/>
                <w:shd w:val="clear" w:color="auto" w:fill="auto"/>
                <w:lang w:val="en-US" w:eastAsia="zh-CN"/>
              </w:rPr>
            </w:pPr>
            <w:r>
              <w:rPr>
                <w:rFonts w:hint="eastAsia" w:ascii="Times New Roman" w:hAnsi="Times New Roman" w:cs="Times New Roman"/>
                <w:i w:val="0"/>
                <w:color w:val="auto"/>
                <w:sz w:val="21"/>
                <w:szCs w:val="21"/>
                <w:u w:val="none"/>
                <w:shd w:val="clear" w:color="auto" w:fill="auto"/>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26" w:hRule="atLeast"/>
        </w:trPr>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auto"/>
                <w:sz w:val="21"/>
                <w:szCs w:val="21"/>
                <w:u w:val="none"/>
                <w:shd w:val="clear" w:color="auto" w:fill="auto"/>
              </w:rPr>
            </w:pPr>
          </w:p>
        </w:tc>
        <w:tc>
          <w:tcPr>
            <w:tcW w:w="1010" w:type="dxa"/>
            <w:noWrap w:val="0"/>
            <w:tcMar>
              <w:top w:w="15" w:type="dxa"/>
              <w:left w:w="15" w:type="dxa"/>
              <w:right w:w="15" w:type="dxa"/>
            </w:tcMar>
            <w:vAlign w:val="center"/>
          </w:tcPr>
          <w:p>
            <w:pPr>
              <w:jc w:val="center"/>
              <w:rPr>
                <w:rFonts w:hint="default" w:ascii="Times New Roman" w:hAnsi="Times New Roman" w:eastAsia="宋体" w:cs="Times New Roman"/>
                <w:i w:val="0"/>
                <w:color w:val="auto"/>
                <w:sz w:val="21"/>
                <w:szCs w:val="21"/>
                <w:u w:val="none"/>
                <w:shd w:val="clear" w:color="auto" w:fill="auto"/>
              </w:rPr>
            </w:pPr>
          </w:p>
        </w:tc>
        <w:tc>
          <w:tcPr>
            <w:tcW w:w="1262" w:type="dxa"/>
            <w:noWrap w:val="0"/>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default" w:ascii="Times New Roman" w:hAnsi="Times New Roman" w:eastAsia="宋体" w:cs="Times New Roman"/>
                <w:i w:val="0"/>
                <w:color w:val="auto"/>
                <w:sz w:val="21"/>
                <w:szCs w:val="21"/>
                <w:u w:val="none"/>
                <w:shd w:val="clear" w:color="auto" w:fill="auto"/>
              </w:rPr>
            </w:pPr>
            <w:r>
              <w:rPr>
                <w:rFonts w:hint="default" w:ascii="Times New Roman" w:hAnsi="Times New Roman" w:eastAsia="宋体" w:cs="Times New Roman"/>
                <w:i w:val="0"/>
                <w:color w:val="auto"/>
                <w:sz w:val="21"/>
                <w:szCs w:val="21"/>
                <w:u w:val="none"/>
                <w:shd w:val="clear" w:color="auto" w:fill="auto"/>
              </w:rPr>
              <w:t>目标2：对</w:t>
            </w:r>
            <w:r>
              <w:rPr>
                <w:rFonts w:hint="eastAsia" w:ascii="Times New Roman" w:hAnsi="Times New Roman" w:cs="Times New Roman"/>
                <w:i w:val="0"/>
                <w:color w:val="auto"/>
                <w:sz w:val="21"/>
                <w:szCs w:val="21"/>
                <w:u w:val="none"/>
                <w:shd w:val="clear" w:color="auto" w:fill="auto"/>
                <w:lang w:val="en-US" w:eastAsia="zh-CN"/>
              </w:rPr>
              <w:t>管辖</w:t>
            </w:r>
            <w:r>
              <w:rPr>
                <w:rFonts w:hint="default" w:ascii="Times New Roman" w:hAnsi="Times New Roman" w:eastAsia="宋体" w:cs="Times New Roman"/>
                <w:i w:val="0"/>
                <w:color w:val="auto"/>
                <w:sz w:val="21"/>
                <w:szCs w:val="21"/>
                <w:u w:val="none"/>
                <w:shd w:val="clear" w:color="auto" w:fill="auto"/>
              </w:rPr>
              <w:t>范围内的</w:t>
            </w:r>
            <w:r>
              <w:rPr>
                <w:rFonts w:hint="eastAsia" w:ascii="Times New Roman" w:hAnsi="Times New Roman" w:cs="Times New Roman"/>
                <w:i w:val="0"/>
                <w:color w:val="auto"/>
                <w:sz w:val="21"/>
                <w:szCs w:val="21"/>
                <w:u w:val="none"/>
                <w:shd w:val="clear" w:color="auto" w:fill="auto"/>
                <w:lang w:val="en-US" w:eastAsia="zh-CN"/>
              </w:rPr>
              <w:t>生产企业、施工单位</w:t>
            </w:r>
            <w:r>
              <w:rPr>
                <w:rFonts w:hint="default" w:ascii="Times New Roman" w:hAnsi="Times New Roman" w:eastAsia="宋体" w:cs="Times New Roman"/>
                <w:i w:val="0"/>
                <w:color w:val="auto"/>
                <w:sz w:val="21"/>
                <w:szCs w:val="21"/>
                <w:u w:val="none"/>
                <w:shd w:val="clear" w:color="auto" w:fill="auto"/>
              </w:rPr>
              <w:t>等提供决策依据</w:t>
            </w:r>
          </w:p>
        </w:tc>
        <w:tc>
          <w:tcPr>
            <w:tcW w:w="1091"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auto"/>
                <w:sz w:val="21"/>
                <w:szCs w:val="21"/>
                <w:u w:val="none"/>
                <w:shd w:val="clear" w:color="auto" w:fill="auto"/>
              </w:rPr>
            </w:pPr>
            <w:r>
              <w:rPr>
                <w:rFonts w:hint="default" w:ascii="Times New Roman" w:hAnsi="Times New Roman" w:eastAsia="宋体" w:cs="Times New Roman"/>
                <w:i w:val="0"/>
                <w:color w:val="auto"/>
                <w:sz w:val="21"/>
                <w:szCs w:val="21"/>
                <w:u w:val="none"/>
                <w:shd w:val="clear" w:color="auto" w:fill="auto"/>
              </w:rPr>
              <w:t>100%</w:t>
            </w:r>
          </w:p>
        </w:tc>
        <w:tc>
          <w:tcPr>
            <w:tcW w:w="3099" w:type="dxa"/>
            <w:noWrap w:val="0"/>
            <w:tcMar>
              <w:top w:w="15" w:type="dxa"/>
              <w:left w:w="15" w:type="dxa"/>
              <w:right w:w="15" w:type="dxa"/>
            </w:tcMar>
            <w:vAlign w:val="center"/>
          </w:tcPr>
          <w:p>
            <w:pPr>
              <w:keepNext w:val="0"/>
              <w:keepLines w:val="0"/>
              <w:widowControl/>
              <w:suppressLineNumbers w:val="0"/>
              <w:jc w:val="both"/>
              <w:textAlignment w:val="center"/>
              <w:rPr>
                <w:rFonts w:hint="eastAsia" w:ascii="Times New Roman" w:hAnsi="Times New Roman" w:eastAsia="宋体" w:cs="Times New Roman"/>
                <w:i w:val="0"/>
                <w:color w:val="auto"/>
                <w:kern w:val="0"/>
                <w:sz w:val="21"/>
                <w:szCs w:val="21"/>
                <w:u w:val="none"/>
                <w:shd w:val="clear" w:color="auto" w:fill="auto"/>
                <w:lang w:val="en-US" w:eastAsia="zh-CN" w:bidi="ar"/>
              </w:rPr>
            </w:pPr>
            <w:r>
              <w:rPr>
                <w:rFonts w:hint="eastAsia" w:ascii="Times New Roman" w:hAnsi="Times New Roman" w:cs="Times New Roman"/>
                <w:i w:val="0"/>
                <w:color w:val="auto"/>
                <w:sz w:val="21"/>
                <w:szCs w:val="21"/>
                <w:u w:val="none"/>
                <w:shd w:val="clear" w:color="auto" w:fill="auto"/>
                <w:lang w:val="en-US" w:eastAsia="zh-CN"/>
              </w:rPr>
              <w:t>对管辖范围内生产、制造、使用散装水泥、预拌混凝土、预拌砂浆等情况进行调查、登记。</w:t>
            </w:r>
          </w:p>
        </w:tc>
        <w:tc>
          <w:tcPr>
            <w:tcW w:w="2431"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auto"/>
                <w:kern w:val="0"/>
                <w:sz w:val="21"/>
                <w:szCs w:val="21"/>
                <w:u w:val="none"/>
                <w:shd w:val="clear" w:color="auto" w:fill="auto"/>
                <w:lang w:val="en-US" w:eastAsia="zh-CN" w:bidi="ar"/>
              </w:rPr>
            </w:pPr>
            <w:r>
              <w:rPr>
                <w:rFonts w:hint="default" w:ascii="Times New Roman" w:hAnsi="Times New Roman" w:eastAsia="宋体" w:cs="Times New Roman"/>
                <w:i w:val="0"/>
                <w:color w:val="auto"/>
                <w:sz w:val="21"/>
                <w:szCs w:val="21"/>
                <w:u w:val="none"/>
                <w:shd w:val="clear" w:color="auto" w:fill="auto"/>
                <w:lang w:eastAsia="zh-CN"/>
              </w:rPr>
              <w:t>合法合规</w:t>
            </w:r>
            <w:r>
              <w:rPr>
                <w:rFonts w:hint="eastAsia" w:ascii="Times New Roman" w:hAnsi="Times New Roman" w:cs="Times New Roman"/>
                <w:i w:val="0"/>
                <w:color w:val="auto"/>
                <w:sz w:val="21"/>
                <w:szCs w:val="21"/>
                <w:u w:val="none"/>
                <w:shd w:val="clear" w:color="auto" w:fill="auto"/>
                <w:lang w:val="en-US" w:eastAsia="zh-CN"/>
              </w:rPr>
              <w:t>生产、制造、使用散装水泥、预拌混凝土、预拌砂浆做好巡察记录</w:t>
            </w:r>
            <w:r>
              <w:rPr>
                <w:rFonts w:hint="default" w:ascii="Times New Roman" w:hAnsi="Times New Roman" w:eastAsia="宋体" w:cs="Times New Roman"/>
                <w:i w:val="0"/>
                <w:color w:val="auto"/>
                <w:sz w:val="21"/>
                <w:szCs w:val="21"/>
                <w:u w:val="none"/>
                <w:shd w:val="clear" w:color="auto" w:fill="auto"/>
                <w:lang w:eastAsia="zh-CN"/>
              </w:rPr>
              <w:t>记</w:t>
            </w:r>
            <w:r>
              <w:rPr>
                <w:rFonts w:hint="eastAsia" w:ascii="Times New Roman" w:hAnsi="Times New Roman" w:cs="Times New Roman"/>
                <w:i w:val="0"/>
                <w:color w:val="auto"/>
                <w:sz w:val="21"/>
                <w:szCs w:val="21"/>
                <w:u w:val="none"/>
                <w:shd w:val="clear" w:color="auto" w:fill="auto"/>
                <w:lang w:val="en-US" w:eastAsia="zh-CN"/>
              </w:rPr>
              <w:t>3</w:t>
            </w:r>
            <w:r>
              <w:rPr>
                <w:rFonts w:hint="default" w:ascii="Times New Roman" w:hAnsi="Times New Roman" w:eastAsia="宋体" w:cs="Times New Roman"/>
                <w:i w:val="0"/>
                <w:color w:val="auto"/>
                <w:sz w:val="21"/>
                <w:szCs w:val="21"/>
                <w:u w:val="none"/>
                <w:shd w:val="clear" w:color="auto" w:fill="auto"/>
                <w:lang w:val="en-US" w:eastAsia="zh-CN"/>
              </w:rPr>
              <w:t>分，一项不合规扣1分，累计扣完为止。</w:t>
            </w:r>
          </w:p>
        </w:tc>
        <w:tc>
          <w:tcPr>
            <w:tcW w:w="2672"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u w:val="none"/>
                <w:shd w:val="clear" w:color="auto" w:fill="auto"/>
              </w:rPr>
            </w:pPr>
            <w:r>
              <w:rPr>
                <w:rFonts w:hint="eastAsia" w:ascii="Times New Roman" w:hAnsi="Times New Roman" w:cs="Times New Roman"/>
                <w:i w:val="0"/>
                <w:color w:val="auto"/>
                <w:sz w:val="21"/>
                <w:szCs w:val="21"/>
                <w:u w:val="none"/>
                <w:shd w:val="clear" w:color="auto" w:fill="auto"/>
                <w:lang w:val="en-US" w:eastAsia="zh-CN"/>
              </w:rPr>
              <w:t>江苏省散装水泥促进</w:t>
            </w:r>
            <w:r>
              <w:rPr>
                <w:rFonts w:hint="default" w:ascii="Times New Roman" w:hAnsi="Times New Roman" w:eastAsia="宋体" w:cs="Times New Roman"/>
                <w:i w:val="0"/>
                <w:color w:val="auto"/>
                <w:sz w:val="21"/>
                <w:szCs w:val="21"/>
                <w:u w:val="none"/>
                <w:shd w:val="clear" w:color="auto" w:fill="auto"/>
              </w:rPr>
              <w:t>条例</w:t>
            </w:r>
          </w:p>
        </w:tc>
        <w:tc>
          <w:tcPr>
            <w:tcW w:w="905"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auto"/>
                <w:sz w:val="21"/>
                <w:szCs w:val="21"/>
                <w:u w:val="none"/>
                <w:shd w:val="clear" w:color="auto" w:fill="auto"/>
                <w:lang w:val="en-US" w:eastAsia="zh-CN"/>
              </w:rPr>
            </w:pPr>
            <w:r>
              <w:rPr>
                <w:rFonts w:hint="eastAsia" w:ascii="Times New Roman" w:hAnsi="Times New Roman" w:cs="Times New Roman"/>
                <w:i w:val="0"/>
                <w:color w:val="auto"/>
                <w:sz w:val="21"/>
                <w:szCs w:val="21"/>
                <w:u w:val="none"/>
                <w:shd w:val="clear" w:color="auto" w:fill="auto"/>
                <w:lang w:val="en-US" w:eastAsia="zh-CN"/>
              </w:rPr>
              <w:t>20</w:t>
            </w:r>
          </w:p>
        </w:tc>
        <w:tc>
          <w:tcPr>
            <w:tcW w:w="800"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auto"/>
                <w:sz w:val="21"/>
                <w:szCs w:val="21"/>
                <w:u w:val="none"/>
                <w:shd w:val="clear" w:color="auto" w:fill="auto"/>
                <w:lang w:val="en-US" w:eastAsia="zh-CN"/>
              </w:rPr>
            </w:pPr>
            <w:r>
              <w:rPr>
                <w:rFonts w:hint="eastAsia" w:ascii="Times New Roman" w:hAnsi="Times New Roman" w:cs="Times New Roman"/>
                <w:i w:val="0"/>
                <w:color w:val="auto"/>
                <w:sz w:val="21"/>
                <w:szCs w:val="21"/>
                <w:u w:val="none"/>
                <w:shd w:val="clear" w:color="auto" w:fill="auto"/>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09" w:hRule="atLeast"/>
        </w:trPr>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auto"/>
                <w:sz w:val="21"/>
                <w:szCs w:val="21"/>
                <w:u w:val="none"/>
                <w:shd w:val="clear" w:color="auto" w:fill="auto"/>
              </w:rPr>
            </w:pPr>
          </w:p>
        </w:tc>
        <w:tc>
          <w:tcPr>
            <w:tcW w:w="1010" w:type="dxa"/>
            <w:vMerge w:val="restart"/>
            <w:noWrap w:val="0"/>
            <w:tcMar>
              <w:top w:w="15" w:type="dxa"/>
              <w:left w:w="15" w:type="dxa"/>
              <w:right w:w="15" w:type="dxa"/>
            </w:tcMar>
            <w:vAlign w:val="center"/>
          </w:tcPr>
          <w:p>
            <w:pPr>
              <w:ind w:left="0" w:leftChars="0" w:firstLine="0" w:firstLineChars="0"/>
              <w:jc w:val="both"/>
              <w:rPr>
                <w:rFonts w:hint="default" w:ascii="Times New Roman" w:hAnsi="Times New Roman" w:eastAsia="宋体" w:cs="Times New Roman"/>
                <w:i w:val="0"/>
                <w:color w:val="auto"/>
                <w:sz w:val="21"/>
                <w:szCs w:val="21"/>
                <w:u w:val="none"/>
                <w:shd w:val="clear" w:color="auto" w:fill="auto"/>
                <w:lang w:val="en-US" w:eastAsia="zh-CN"/>
              </w:rPr>
            </w:pPr>
            <w:r>
              <w:rPr>
                <w:rFonts w:hint="default" w:ascii="Times New Roman" w:hAnsi="Times New Roman" w:eastAsia="宋体" w:cs="Times New Roman"/>
                <w:i w:val="0"/>
                <w:color w:val="auto"/>
                <w:sz w:val="21"/>
                <w:szCs w:val="21"/>
                <w:u w:val="none"/>
                <w:shd w:val="clear" w:color="auto" w:fill="auto"/>
                <w:lang w:eastAsia="zh-CN"/>
              </w:rPr>
              <w:t>职能2：</w:t>
            </w:r>
            <w:r>
              <w:rPr>
                <w:rFonts w:hint="eastAsia" w:ascii="Times New Roman" w:hAnsi="Times New Roman" w:cs="Times New Roman"/>
                <w:i w:val="0"/>
                <w:color w:val="auto"/>
                <w:sz w:val="21"/>
                <w:szCs w:val="21"/>
                <w:u w:val="none"/>
                <w:shd w:val="clear" w:color="auto" w:fill="auto"/>
                <w:lang w:val="en-US" w:eastAsia="zh-CN"/>
              </w:rPr>
              <w:t>加强农村用散平台合作</w:t>
            </w:r>
          </w:p>
        </w:tc>
        <w:tc>
          <w:tcPr>
            <w:tcW w:w="1262" w:type="dxa"/>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u w:val="none"/>
                <w:shd w:val="clear" w:color="auto" w:fill="auto"/>
                <w:lang w:eastAsia="zh-CN"/>
              </w:rPr>
            </w:pPr>
            <w:r>
              <w:rPr>
                <w:rFonts w:hint="default" w:ascii="Times New Roman" w:hAnsi="Times New Roman" w:eastAsia="宋体" w:cs="Times New Roman"/>
                <w:i w:val="0"/>
                <w:color w:val="auto"/>
                <w:sz w:val="21"/>
                <w:szCs w:val="21"/>
                <w:u w:val="none"/>
                <w:shd w:val="clear" w:color="auto" w:fill="auto"/>
              </w:rPr>
              <w:t>目标1：</w:t>
            </w:r>
            <w:r>
              <w:rPr>
                <w:rFonts w:hint="eastAsia" w:ascii="Times New Roman" w:hAnsi="Times New Roman" w:cs="Times New Roman"/>
                <w:i w:val="0"/>
                <w:color w:val="auto"/>
                <w:sz w:val="21"/>
                <w:szCs w:val="21"/>
                <w:u w:val="none"/>
                <w:shd w:val="clear" w:color="auto" w:fill="auto"/>
                <w:lang w:val="en-US" w:eastAsia="zh-CN"/>
              </w:rPr>
              <w:t>使用</w:t>
            </w:r>
            <w:r>
              <w:rPr>
                <w:rFonts w:hint="default" w:ascii="Times New Roman" w:hAnsi="Times New Roman" w:eastAsia="宋体" w:cs="Times New Roman"/>
                <w:i w:val="0"/>
                <w:color w:val="auto"/>
                <w:sz w:val="21"/>
                <w:szCs w:val="21"/>
                <w:u w:val="none"/>
                <w:shd w:val="clear" w:color="auto" w:fill="auto"/>
              </w:rPr>
              <w:t>率</w:t>
            </w:r>
            <w:r>
              <w:rPr>
                <w:rFonts w:hint="eastAsia" w:ascii="Times New Roman" w:hAnsi="Times New Roman" w:cs="Times New Roman"/>
                <w:i w:val="0"/>
                <w:color w:val="auto"/>
                <w:sz w:val="21"/>
                <w:szCs w:val="21"/>
                <w:u w:val="none"/>
                <w:shd w:val="clear" w:color="auto" w:fill="auto"/>
                <w:lang w:val="en-US" w:eastAsia="zh-CN"/>
              </w:rPr>
              <w:t>9</w:t>
            </w:r>
            <w:r>
              <w:rPr>
                <w:rFonts w:hint="default" w:ascii="Times New Roman" w:hAnsi="Times New Roman" w:eastAsia="宋体" w:cs="Times New Roman"/>
                <w:i w:val="0"/>
                <w:color w:val="auto"/>
                <w:sz w:val="21"/>
                <w:szCs w:val="21"/>
                <w:u w:val="none"/>
                <w:shd w:val="clear" w:color="auto" w:fill="auto"/>
              </w:rPr>
              <w:t>0%</w:t>
            </w:r>
          </w:p>
        </w:tc>
        <w:tc>
          <w:tcPr>
            <w:tcW w:w="1091"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auto"/>
                <w:sz w:val="21"/>
                <w:szCs w:val="21"/>
                <w:u w:val="none"/>
                <w:shd w:val="clear" w:color="auto" w:fill="auto"/>
              </w:rPr>
            </w:pPr>
            <w:r>
              <w:rPr>
                <w:rFonts w:hint="eastAsia" w:ascii="Times New Roman" w:hAnsi="Times New Roman" w:cs="Times New Roman"/>
                <w:i w:val="0"/>
                <w:color w:val="auto"/>
                <w:sz w:val="21"/>
                <w:szCs w:val="21"/>
                <w:u w:val="none"/>
                <w:shd w:val="clear" w:color="auto" w:fill="auto"/>
                <w:lang w:val="en-US" w:eastAsia="zh-CN"/>
              </w:rPr>
              <w:t>9</w:t>
            </w:r>
            <w:r>
              <w:rPr>
                <w:rFonts w:hint="default" w:ascii="Times New Roman" w:hAnsi="Times New Roman" w:eastAsia="宋体" w:cs="Times New Roman"/>
                <w:i w:val="0"/>
                <w:color w:val="auto"/>
                <w:sz w:val="21"/>
                <w:szCs w:val="21"/>
                <w:u w:val="none"/>
                <w:shd w:val="clear" w:color="auto" w:fill="auto"/>
              </w:rPr>
              <w:t>0%</w:t>
            </w:r>
          </w:p>
        </w:tc>
        <w:tc>
          <w:tcPr>
            <w:tcW w:w="3099"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auto"/>
                <w:kern w:val="0"/>
                <w:sz w:val="21"/>
                <w:szCs w:val="21"/>
                <w:u w:val="none"/>
                <w:shd w:val="clear" w:color="auto" w:fill="auto"/>
                <w:lang w:val="en-US" w:eastAsia="zh-CN" w:bidi="ar"/>
              </w:rPr>
            </w:pPr>
            <w:r>
              <w:rPr>
                <w:rFonts w:hint="eastAsia" w:ascii="Times New Roman" w:hAnsi="Times New Roman" w:cs="Times New Roman"/>
                <w:i w:val="0"/>
                <w:color w:val="auto"/>
                <w:sz w:val="21"/>
                <w:szCs w:val="21"/>
                <w:u w:val="none"/>
                <w:shd w:val="clear" w:color="auto" w:fill="auto"/>
                <w:lang w:val="en-US" w:eastAsia="zh-CN"/>
              </w:rPr>
              <w:t>对于农村使用散装水泥、预拌混凝土、预拌砂浆</w:t>
            </w:r>
            <w:r>
              <w:rPr>
                <w:rFonts w:hint="default" w:ascii="Times New Roman" w:hAnsi="Times New Roman" w:eastAsia="宋体" w:cs="Times New Roman"/>
                <w:i w:val="0"/>
                <w:color w:val="auto"/>
                <w:sz w:val="21"/>
                <w:szCs w:val="21"/>
                <w:u w:val="none"/>
                <w:shd w:val="clear" w:color="auto" w:fill="auto"/>
                <w:lang w:eastAsia="zh-CN"/>
              </w:rPr>
              <w:t>工作</w:t>
            </w:r>
            <w:r>
              <w:rPr>
                <w:rFonts w:hint="eastAsia" w:ascii="Times New Roman" w:hAnsi="Times New Roman" w:cs="Times New Roman"/>
                <w:i w:val="0"/>
                <w:color w:val="auto"/>
                <w:sz w:val="21"/>
                <w:szCs w:val="21"/>
                <w:u w:val="none"/>
                <w:shd w:val="clear" w:color="auto" w:fill="auto"/>
                <w:lang w:eastAsia="zh-CN"/>
              </w:rPr>
              <w:t>，</w:t>
            </w:r>
            <w:r>
              <w:rPr>
                <w:rFonts w:hint="eastAsia" w:ascii="Times New Roman" w:hAnsi="Times New Roman" w:cs="Times New Roman"/>
                <w:i w:val="0"/>
                <w:color w:val="auto"/>
                <w:sz w:val="21"/>
                <w:szCs w:val="21"/>
                <w:u w:val="none"/>
                <w:shd w:val="clear" w:color="auto" w:fill="auto"/>
                <w:lang w:val="en-US" w:eastAsia="zh-CN"/>
              </w:rPr>
              <w:t>争取签约率达到90%。</w:t>
            </w:r>
          </w:p>
        </w:tc>
        <w:tc>
          <w:tcPr>
            <w:tcW w:w="2431"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auto"/>
                <w:kern w:val="0"/>
                <w:sz w:val="21"/>
                <w:szCs w:val="21"/>
                <w:u w:val="none"/>
                <w:shd w:val="clear" w:color="auto" w:fill="auto"/>
                <w:lang w:val="en-US" w:eastAsia="zh-CN" w:bidi="ar"/>
              </w:rPr>
            </w:pPr>
            <w:r>
              <w:rPr>
                <w:rFonts w:hint="eastAsia" w:ascii="Times New Roman" w:hAnsi="Times New Roman" w:cs="Times New Roman"/>
                <w:i w:val="0"/>
                <w:color w:val="auto"/>
                <w:sz w:val="21"/>
                <w:szCs w:val="21"/>
                <w:u w:val="none"/>
                <w:shd w:val="clear" w:color="auto" w:fill="auto"/>
                <w:lang w:val="en-US" w:eastAsia="zh-CN"/>
              </w:rPr>
              <w:t>争取签约率达到90%</w:t>
            </w:r>
            <w:r>
              <w:rPr>
                <w:rFonts w:hint="eastAsia" w:ascii="Times New Roman" w:hAnsi="Times New Roman" w:cs="Times New Roman"/>
                <w:i w:val="0"/>
                <w:color w:val="auto"/>
                <w:sz w:val="21"/>
                <w:szCs w:val="21"/>
                <w:u w:val="none"/>
                <w:shd w:val="clear" w:color="auto" w:fill="auto"/>
                <w:lang w:eastAsia="zh-CN"/>
              </w:rPr>
              <w:t>，</w:t>
            </w:r>
            <w:r>
              <w:rPr>
                <w:rFonts w:hint="default" w:ascii="Times New Roman" w:hAnsi="Times New Roman" w:eastAsia="宋体" w:cs="Times New Roman"/>
                <w:i w:val="0"/>
                <w:color w:val="auto"/>
                <w:sz w:val="21"/>
                <w:szCs w:val="21"/>
                <w:u w:val="none"/>
                <w:shd w:val="clear" w:color="auto" w:fill="auto"/>
                <w:lang w:val="en-US" w:eastAsia="zh-CN"/>
              </w:rPr>
              <w:t>记</w:t>
            </w:r>
            <w:r>
              <w:rPr>
                <w:rFonts w:hint="eastAsia" w:ascii="Times New Roman" w:hAnsi="Times New Roman" w:eastAsia="宋体" w:cs="Times New Roman"/>
                <w:i w:val="0"/>
                <w:color w:val="auto"/>
                <w:sz w:val="21"/>
                <w:szCs w:val="21"/>
                <w:u w:val="none"/>
                <w:shd w:val="clear" w:color="auto" w:fill="auto"/>
                <w:lang w:val="en-US" w:eastAsia="zh-CN"/>
              </w:rPr>
              <w:t>6</w:t>
            </w:r>
            <w:r>
              <w:rPr>
                <w:rFonts w:hint="default" w:ascii="Times New Roman" w:hAnsi="Times New Roman" w:eastAsia="宋体" w:cs="Times New Roman"/>
                <w:i w:val="0"/>
                <w:color w:val="auto"/>
                <w:sz w:val="21"/>
                <w:szCs w:val="21"/>
                <w:u w:val="none"/>
                <w:shd w:val="clear" w:color="auto" w:fill="auto"/>
                <w:lang w:val="en-US" w:eastAsia="zh-CN"/>
              </w:rPr>
              <w:t>分。</w:t>
            </w:r>
          </w:p>
        </w:tc>
        <w:tc>
          <w:tcPr>
            <w:tcW w:w="2672"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u w:val="none"/>
                <w:shd w:val="clear" w:color="auto" w:fill="auto"/>
              </w:rPr>
            </w:pPr>
            <w:r>
              <w:rPr>
                <w:rFonts w:hint="eastAsia" w:ascii="Times New Roman" w:hAnsi="Times New Roman" w:cs="Times New Roman"/>
                <w:i w:val="0"/>
                <w:color w:val="auto"/>
                <w:sz w:val="21"/>
                <w:szCs w:val="21"/>
                <w:u w:val="none"/>
                <w:shd w:val="clear" w:color="auto" w:fill="auto"/>
                <w:lang w:val="en-US" w:eastAsia="zh-CN"/>
              </w:rPr>
              <w:t>江苏省散装水泥促进</w:t>
            </w:r>
            <w:r>
              <w:rPr>
                <w:rFonts w:hint="default" w:ascii="Times New Roman" w:hAnsi="Times New Roman" w:eastAsia="宋体" w:cs="Times New Roman"/>
                <w:i w:val="0"/>
                <w:color w:val="auto"/>
                <w:sz w:val="21"/>
                <w:szCs w:val="21"/>
                <w:u w:val="none"/>
                <w:shd w:val="clear" w:color="auto" w:fill="auto"/>
              </w:rPr>
              <w:t>条例</w:t>
            </w:r>
          </w:p>
        </w:tc>
        <w:tc>
          <w:tcPr>
            <w:tcW w:w="905"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auto"/>
                <w:sz w:val="21"/>
                <w:szCs w:val="21"/>
                <w:u w:val="none"/>
                <w:shd w:val="clear" w:color="auto" w:fill="auto"/>
                <w:lang w:val="en-US" w:eastAsia="zh-CN"/>
              </w:rPr>
            </w:pPr>
            <w:r>
              <w:rPr>
                <w:rFonts w:hint="eastAsia" w:ascii="Times New Roman" w:hAnsi="Times New Roman" w:cs="Times New Roman"/>
                <w:i w:val="0"/>
                <w:color w:val="auto"/>
                <w:sz w:val="21"/>
                <w:szCs w:val="21"/>
                <w:u w:val="none"/>
                <w:shd w:val="clear" w:color="auto" w:fill="auto"/>
                <w:lang w:val="en-US" w:eastAsia="zh-CN"/>
              </w:rPr>
              <w:t>15</w:t>
            </w:r>
          </w:p>
        </w:tc>
        <w:tc>
          <w:tcPr>
            <w:tcW w:w="800"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auto"/>
                <w:sz w:val="21"/>
                <w:szCs w:val="21"/>
                <w:u w:val="none"/>
                <w:shd w:val="clear" w:color="auto" w:fill="auto"/>
                <w:lang w:val="en-US" w:eastAsia="zh-CN"/>
              </w:rPr>
            </w:pPr>
            <w:r>
              <w:rPr>
                <w:rFonts w:hint="eastAsia" w:ascii="Times New Roman" w:hAnsi="Times New Roman" w:cs="Times New Roman"/>
                <w:i w:val="0"/>
                <w:color w:val="auto"/>
                <w:sz w:val="21"/>
                <w:szCs w:val="21"/>
                <w:u w:val="none"/>
                <w:shd w:val="clear" w:color="auto" w:fill="auto"/>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3" w:hRule="atLeast"/>
        </w:trPr>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auto"/>
                <w:sz w:val="21"/>
                <w:szCs w:val="21"/>
                <w:u w:val="none"/>
                <w:shd w:val="clear" w:color="auto" w:fill="auto"/>
              </w:rPr>
            </w:pPr>
          </w:p>
        </w:tc>
        <w:tc>
          <w:tcPr>
            <w:tcW w:w="1010" w:type="dxa"/>
            <w:vMerge w:val="continue"/>
            <w:noWrap w:val="0"/>
            <w:tcMar>
              <w:top w:w="15" w:type="dxa"/>
              <w:left w:w="15" w:type="dxa"/>
              <w:right w:w="15" w:type="dxa"/>
            </w:tcMar>
            <w:vAlign w:val="center"/>
          </w:tcPr>
          <w:p>
            <w:pPr>
              <w:jc w:val="center"/>
              <w:rPr>
                <w:rFonts w:hint="default" w:ascii="Times New Roman" w:hAnsi="Times New Roman" w:eastAsia="宋体" w:cs="Times New Roman"/>
                <w:i w:val="0"/>
                <w:color w:val="auto"/>
                <w:sz w:val="21"/>
                <w:szCs w:val="21"/>
                <w:u w:val="none"/>
                <w:shd w:val="clear" w:color="auto" w:fill="auto"/>
              </w:rPr>
            </w:pPr>
          </w:p>
        </w:tc>
        <w:tc>
          <w:tcPr>
            <w:tcW w:w="1262" w:type="dxa"/>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1"/>
                <w:szCs w:val="21"/>
                <w:u w:val="none"/>
                <w:shd w:val="clear" w:color="auto" w:fill="auto"/>
                <w:lang w:val="en-US" w:eastAsia="zh-CN"/>
              </w:rPr>
            </w:pPr>
            <w:r>
              <w:rPr>
                <w:rFonts w:hint="default" w:ascii="Times New Roman" w:hAnsi="Times New Roman" w:eastAsia="宋体" w:cs="Times New Roman"/>
                <w:i w:val="0"/>
                <w:color w:val="auto"/>
                <w:sz w:val="21"/>
                <w:szCs w:val="21"/>
                <w:u w:val="none"/>
                <w:shd w:val="clear" w:color="auto" w:fill="auto"/>
              </w:rPr>
              <w:t>目标2：</w:t>
            </w:r>
            <w:r>
              <w:rPr>
                <w:rFonts w:hint="eastAsia" w:ascii="Times New Roman" w:hAnsi="Times New Roman" w:cs="Times New Roman"/>
                <w:i w:val="0"/>
                <w:color w:val="auto"/>
                <w:sz w:val="21"/>
                <w:szCs w:val="21"/>
                <w:u w:val="none"/>
                <w:shd w:val="clear" w:color="auto" w:fill="auto"/>
                <w:lang w:val="en-US" w:eastAsia="zh-CN"/>
              </w:rPr>
              <w:t>宣传覆盖率100%</w:t>
            </w:r>
          </w:p>
        </w:tc>
        <w:tc>
          <w:tcPr>
            <w:tcW w:w="1091"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auto"/>
                <w:sz w:val="21"/>
                <w:szCs w:val="21"/>
                <w:u w:val="none"/>
                <w:shd w:val="clear" w:color="auto" w:fill="auto"/>
              </w:rPr>
            </w:pPr>
            <w:r>
              <w:rPr>
                <w:rFonts w:hint="eastAsia" w:ascii="Times New Roman" w:hAnsi="Times New Roman" w:cs="Times New Roman"/>
                <w:i w:val="0"/>
                <w:color w:val="auto"/>
                <w:sz w:val="21"/>
                <w:szCs w:val="21"/>
                <w:u w:val="none"/>
                <w:shd w:val="clear" w:color="auto" w:fill="auto"/>
                <w:lang w:val="en-US" w:eastAsia="zh-CN"/>
              </w:rPr>
              <w:t>100</w:t>
            </w:r>
            <w:r>
              <w:rPr>
                <w:rFonts w:hint="default" w:ascii="Times New Roman" w:hAnsi="Times New Roman" w:eastAsia="宋体" w:cs="Times New Roman"/>
                <w:i w:val="0"/>
                <w:color w:val="auto"/>
                <w:sz w:val="21"/>
                <w:szCs w:val="21"/>
                <w:u w:val="none"/>
                <w:shd w:val="clear" w:color="auto" w:fill="auto"/>
              </w:rPr>
              <w:t>%</w:t>
            </w:r>
          </w:p>
        </w:tc>
        <w:tc>
          <w:tcPr>
            <w:tcW w:w="3099"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auto"/>
                <w:kern w:val="0"/>
                <w:sz w:val="21"/>
                <w:szCs w:val="21"/>
                <w:u w:val="none"/>
                <w:shd w:val="clear" w:color="auto" w:fill="auto"/>
                <w:lang w:val="en-US" w:eastAsia="zh-CN" w:bidi="ar"/>
              </w:rPr>
            </w:pPr>
            <w:r>
              <w:rPr>
                <w:rFonts w:hint="eastAsia" w:ascii="Times New Roman" w:hAnsi="Times New Roman" w:cs="Times New Roman"/>
                <w:i w:val="0"/>
                <w:color w:val="auto"/>
                <w:kern w:val="0"/>
                <w:sz w:val="21"/>
                <w:szCs w:val="21"/>
                <w:u w:val="none"/>
                <w:shd w:val="clear" w:color="auto" w:fill="auto"/>
                <w:lang w:val="en-US" w:eastAsia="zh-CN" w:bidi="ar"/>
              </w:rPr>
              <w:t>争取本年度县区农村用散宣传推广力度达到100%。</w:t>
            </w:r>
          </w:p>
        </w:tc>
        <w:tc>
          <w:tcPr>
            <w:tcW w:w="2431" w:type="dxa"/>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auto"/>
                <w:kern w:val="0"/>
                <w:sz w:val="21"/>
                <w:szCs w:val="21"/>
                <w:u w:val="none"/>
                <w:shd w:val="clear" w:color="auto" w:fill="auto"/>
                <w:lang w:val="en-US" w:eastAsia="zh-CN" w:bidi="ar"/>
              </w:rPr>
            </w:pPr>
            <w:r>
              <w:rPr>
                <w:rFonts w:hint="eastAsia" w:ascii="Times New Roman" w:hAnsi="Times New Roman" w:cs="Times New Roman"/>
                <w:i w:val="0"/>
                <w:color w:val="auto"/>
                <w:sz w:val="21"/>
                <w:szCs w:val="21"/>
                <w:u w:val="none"/>
                <w:shd w:val="clear" w:color="auto" w:fill="auto"/>
                <w:lang w:val="en-US" w:eastAsia="zh-CN"/>
              </w:rPr>
              <w:t>完成100%覆盖率宣传，</w:t>
            </w:r>
            <w:r>
              <w:rPr>
                <w:rFonts w:hint="default" w:ascii="Times New Roman" w:hAnsi="Times New Roman" w:eastAsia="宋体" w:cs="Times New Roman"/>
                <w:i w:val="0"/>
                <w:color w:val="auto"/>
                <w:sz w:val="21"/>
                <w:szCs w:val="21"/>
                <w:u w:val="none"/>
                <w:shd w:val="clear" w:color="auto" w:fill="auto"/>
                <w:lang w:val="en-US" w:eastAsia="zh-CN"/>
              </w:rPr>
              <w:t>少</w:t>
            </w:r>
            <w:r>
              <w:rPr>
                <w:rFonts w:hint="eastAsia" w:ascii="Times New Roman" w:hAnsi="Times New Roman" w:cs="Times New Roman"/>
                <w:i w:val="0"/>
                <w:color w:val="auto"/>
                <w:sz w:val="21"/>
                <w:szCs w:val="21"/>
                <w:u w:val="none"/>
                <w:shd w:val="clear" w:color="auto" w:fill="auto"/>
                <w:lang w:val="en-US" w:eastAsia="zh-CN"/>
              </w:rPr>
              <w:t>10%</w:t>
            </w:r>
            <w:r>
              <w:rPr>
                <w:rFonts w:hint="default" w:ascii="Times New Roman" w:hAnsi="Times New Roman" w:eastAsia="宋体" w:cs="Times New Roman"/>
                <w:i w:val="0"/>
                <w:color w:val="auto"/>
                <w:sz w:val="21"/>
                <w:szCs w:val="21"/>
                <w:u w:val="none"/>
                <w:shd w:val="clear" w:color="auto" w:fill="auto"/>
                <w:lang w:val="en-US" w:eastAsia="zh-CN"/>
              </w:rPr>
              <w:t>扣1分，扣完为止。</w:t>
            </w:r>
          </w:p>
        </w:tc>
        <w:tc>
          <w:tcPr>
            <w:tcW w:w="2672" w:type="dxa"/>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1"/>
                <w:szCs w:val="21"/>
                <w:u w:val="none"/>
                <w:shd w:val="clear" w:color="auto" w:fill="auto"/>
              </w:rPr>
            </w:pPr>
            <w:r>
              <w:rPr>
                <w:rFonts w:hint="eastAsia" w:ascii="Times New Roman" w:hAnsi="Times New Roman" w:cs="Times New Roman"/>
                <w:i w:val="0"/>
                <w:color w:val="auto"/>
                <w:sz w:val="21"/>
                <w:szCs w:val="21"/>
                <w:u w:val="none"/>
                <w:shd w:val="clear" w:color="auto" w:fill="auto"/>
                <w:lang w:val="en-US" w:eastAsia="zh-CN"/>
              </w:rPr>
              <w:t>江苏省散装水泥促进</w:t>
            </w:r>
            <w:r>
              <w:rPr>
                <w:rFonts w:hint="default" w:ascii="Times New Roman" w:hAnsi="Times New Roman" w:eastAsia="宋体" w:cs="Times New Roman"/>
                <w:i w:val="0"/>
                <w:color w:val="auto"/>
                <w:sz w:val="21"/>
                <w:szCs w:val="21"/>
                <w:u w:val="none"/>
                <w:shd w:val="clear" w:color="auto" w:fill="auto"/>
              </w:rPr>
              <w:t>条例</w:t>
            </w:r>
          </w:p>
        </w:tc>
        <w:tc>
          <w:tcPr>
            <w:tcW w:w="905"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auto"/>
                <w:sz w:val="21"/>
                <w:szCs w:val="21"/>
                <w:u w:val="none"/>
                <w:shd w:val="clear" w:color="auto" w:fill="auto"/>
                <w:lang w:val="en-US" w:eastAsia="zh-CN"/>
              </w:rPr>
            </w:pPr>
            <w:r>
              <w:rPr>
                <w:rFonts w:hint="eastAsia" w:ascii="Times New Roman" w:hAnsi="Times New Roman" w:cs="Times New Roman"/>
                <w:i w:val="0"/>
                <w:color w:val="auto"/>
                <w:sz w:val="21"/>
                <w:szCs w:val="21"/>
                <w:u w:val="none"/>
                <w:shd w:val="clear" w:color="auto" w:fill="auto"/>
                <w:lang w:val="en-US" w:eastAsia="zh-CN"/>
              </w:rPr>
              <w:t>15</w:t>
            </w:r>
          </w:p>
        </w:tc>
        <w:tc>
          <w:tcPr>
            <w:tcW w:w="800" w:type="dxa"/>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auto"/>
                <w:sz w:val="21"/>
                <w:szCs w:val="21"/>
                <w:u w:val="none"/>
                <w:shd w:val="clear" w:color="auto" w:fill="auto"/>
                <w:lang w:val="en-US" w:eastAsia="zh-CN"/>
              </w:rPr>
            </w:pPr>
            <w:r>
              <w:rPr>
                <w:rFonts w:hint="eastAsia" w:ascii="Times New Roman" w:hAnsi="Times New Roman" w:cs="Times New Roman"/>
                <w:i w:val="0"/>
                <w:color w:val="auto"/>
                <w:sz w:val="21"/>
                <w:szCs w:val="21"/>
                <w:u w:val="none"/>
                <w:shd w:val="clear" w:color="auto" w:fill="auto"/>
                <w:lang w:val="en-US" w:eastAsia="zh-CN"/>
              </w:rPr>
              <w:t>15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trHeight w:val="790" w:hRule="atLeast"/>
        </w:trPr>
        <w:tc>
          <w:tcPr>
            <w:tcW w:w="2020" w:type="dxa"/>
            <w:gridSpan w:val="2"/>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jc w:val="center"/>
              <w:rPr>
                <w:rFonts w:hint="default" w:ascii="Times New Roman" w:hAnsi="Times New Roman" w:eastAsia="宋体" w:cs="Times New Roman"/>
                <w:i w:val="0"/>
                <w:color w:val="auto"/>
                <w:sz w:val="21"/>
                <w:szCs w:val="21"/>
                <w:u w:val="none"/>
                <w:shd w:val="clear" w:color="auto" w:fill="auto"/>
                <w:lang w:eastAsia="zh-CN"/>
              </w:rPr>
            </w:pPr>
            <w:r>
              <w:rPr>
                <w:rFonts w:hint="default" w:ascii="Times New Roman" w:hAnsi="Times New Roman" w:eastAsia="宋体" w:cs="Times New Roman"/>
                <w:b/>
                <w:bCs/>
                <w:i w:val="0"/>
                <w:color w:val="auto"/>
                <w:sz w:val="21"/>
                <w:szCs w:val="21"/>
                <w:u w:val="none"/>
                <w:shd w:val="clear" w:color="auto" w:fill="auto"/>
                <w:lang w:eastAsia="zh-CN"/>
              </w:rPr>
              <w:t>合计</w:t>
            </w:r>
          </w:p>
        </w:tc>
        <w:tc>
          <w:tcPr>
            <w:tcW w:w="1262" w:type="dxa"/>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auto"/>
                <w:kern w:val="0"/>
                <w:sz w:val="21"/>
                <w:szCs w:val="21"/>
                <w:u w:val="none"/>
                <w:shd w:val="clear" w:color="auto" w:fill="auto"/>
                <w:lang w:val="en-US" w:eastAsia="zh-CN" w:bidi="ar"/>
              </w:rPr>
            </w:pPr>
            <w:r>
              <w:rPr>
                <w:rFonts w:hint="default" w:ascii="Times New Roman" w:hAnsi="Times New Roman" w:eastAsia="宋体" w:cs="Times New Roman"/>
                <w:b/>
                <w:bCs/>
                <w:i w:val="0"/>
                <w:color w:val="auto"/>
                <w:kern w:val="0"/>
                <w:sz w:val="21"/>
                <w:szCs w:val="21"/>
                <w:u w:val="none"/>
                <w:shd w:val="clear" w:color="auto" w:fill="auto"/>
                <w:lang w:val="en-US" w:eastAsia="zh-CN" w:bidi="ar"/>
              </w:rPr>
              <w:t>总分：100分</w:t>
            </w:r>
          </w:p>
        </w:tc>
        <w:tc>
          <w:tcPr>
            <w:tcW w:w="10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auto"/>
                <w:kern w:val="0"/>
                <w:sz w:val="21"/>
                <w:szCs w:val="21"/>
                <w:u w:val="none"/>
                <w:shd w:val="clear" w:color="auto" w:fill="auto"/>
                <w:lang w:val="en-US" w:eastAsia="zh-CN" w:bidi="ar"/>
              </w:rPr>
            </w:pPr>
          </w:p>
        </w:tc>
        <w:tc>
          <w:tcPr>
            <w:tcW w:w="309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auto"/>
                <w:kern w:val="0"/>
                <w:sz w:val="21"/>
                <w:szCs w:val="21"/>
                <w:u w:val="none"/>
                <w:shd w:val="clear" w:color="auto" w:fill="auto"/>
                <w:lang w:val="en-US" w:eastAsia="zh-CN" w:bidi="ar"/>
              </w:rPr>
            </w:pPr>
          </w:p>
        </w:tc>
        <w:tc>
          <w:tcPr>
            <w:tcW w:w="24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Style w:val="22"/>
                <w:rFonts w:hint="default" w:ascii="Times New Roman" w:hAnsi="Times New Roman" w:cs="Times New Roman"/>
                <w:b/>
                <w:bCs/>
                <w:color w:val="auto"/>
                <w:sz w:val="21"/>
                <w:szCs w:val="21"/>
                <w:shd w:val="clear" w:color="auto" w:fill="auto"/>
                <w:lang w:val="en-US" w:eastAsia="zh-CN" w:bidi="ar"/>
              </w:rPr>
            </w:pPr>
          </w:p>
        </w:tc>
        <w:tc>
          <w:tcPr>
            <w:tcW w:w="26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auto"/>
                <w:kern w:val="0"/>
                <w:sz w:val="21"/>
                <w:szCs w:val="21"/>
                <w:u w:val="none"/>
                <w:shd w:val="clear" w:color="auto" w:fill="auto"/>
                <w:lang w:val="en-US" w:eastAsia="zh-CN" w:bidi="ar"/>
              </w:rPr>
            </w:pPr>
          </w:p>
        </w:tc>
        <w:tc>
          <w:tcPr>
            <w:tcW w:w="9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bCs/>
                <w:i w:val="0"/>
                <w:color w:val="auto"/>
                <w:kern w:val="0"/>
                <w:sz w:val="21"/>
                <w:szCs w:val="21"/>
                <w:u w:val="none"/>
                <w:shd w:val="clear" w:color="auto" w:fill="auto"/>
                <w:lang w:val="en-US" w:eastAsia="zh-CN" w:bidi="ar"/>
              </w:rPr>
            </w:pPr>
            <w:r>
              <w:rPr>
                <w:rFonts w:hint="default" w:ascii="Times New Roman" w:hAnsi="Times New Roman" w:eastAsia="宋体" w:cs="Times New Roman"/>
                <w:b/>
                <w:bCs/>
                <w:i w:val="0"/>
                <w:color w:val="auto"/>
                <w:kern w:val="0"/>
                <w:sz w:val="21"/>
                <w:szCs w:val="21"/>
                <w:u w:val="none"/>
                <w:shd w:val="clear" w:color="auto" w:fill="auto"/>
                <w:lang w:val="en-US" w:eastAsia="zh-CN" w:bidi="ar"/>
              </w:rPr>
              <w:t>100</w:t>
            </w:r>
          </w:p>
        </w:tc>
        <w:tc>
          <w:tcPr>
            <w:tcW w:w="8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bCs/>
                <w:i w:val="0"/>
                <w:color w:val="auto"/>
                <w:kern w:val="0"/>
                <w:sz w:val="21"/>
                <w:szCs w:val="21"/>
                <w:u w:val="none"/>
                <w:shd w:val="clear" w:color="auto" w:fill="auto"/>
                <w:lang w:val="en-US" w:eastAsia="zh-CN" w:bidi="ar"/>
              </w:rPr>
            </w:pPr>
            <w:r>
              <w:rPr>
                <w:rFonts w:hint="eastAsia" w:ascii="Times New Roman" w:hAnsi="Times New Roman" w:cs="Times New Roman"/>
                <w:b/>
                <w:bCs/>
                <w:i w:val="0"/>
                <w:color w:val="auto"/>
                <w:kern w:val="0"/>
                <w:sz w:val="21"/>
                <w:szCs w:val="21"/>
                <w:u w:val="none"/>
                <w:shd w:val="clear" w:color="auto" w:fill="auto"/>
                <w:lang w:val="en-US" w:eastAsia="zh-CN" w:bidi="ar"/>
              </w:rPr>
              <w:t>94</w:t>
            </w:r>
            <w:r>
              <w:rPr>
                <w:rFonts w:hint="default" w:ascii="Times New Roman" w:hAnsi="Times New Roman" w:eastAsia="宋体" w:cs="Times New Roman"/>
                <w:b/>
                <w:bCs/>
                <w:i w:val="0"/>
                <w:color w:val="auto"/>
                <w:kern w:val="0"/>
                <w:sz w:val="21"/>
                <w:szCs w:val="21"/>
                <w:u w:val="none"/>
                <w:shd w:val="clear" w:color="auto" w:fill="auto"/>
                <w:lang w:val="en-US" w:eastAsia="zh-CN" w:bidi="ar"/>
              </w:rPr>
              <w:t>分</w:t>
            </w:r>
          </w:p>
        </w:tc>
      </w:tr>
    </w:tbl>
    <w:p>
      <w:pPr>
        <w:ind w:firstLine="0" w:firstLineChars="0"/>
      </w:pPr>
    </w:p>
    <w:p>
      <w:pPr>
        <w:ind w:firstLine="640"/>
        <w:rPr>
          <w:sz w:val="32"/>
          <w:szCs w:val="32"/>
        </w:rPr>
      </w:pPr>
    </w:p>
    <w:sectPr>
      <w:footerReference r:id="rId12" w:type="default"/>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FangSong_GB2312">
    <w:altName w:val="仿宋"/>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9"/>
                            <w:ind w:firstLine="360"/>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KVt9jRAQAAogMAAA4AAABkcnMvZTJvRG9jLnhtbK1TzY7TMBC+I/EO&#10;lu80aYFVFd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28&#10;yvL0ARrMug+Yl4a3fsClme8BLzPrQUWbv8iHYBzFPV/FlUMiIj9ar9brGkMCY7OD+NXD8xAhvZPe&#10;kmwwGnF6RVR++gBpTJ1TcjXn77QxZYLGkZ7Rm5ev6/LgGkFw47BGJjE2m6007IeJ2d63ZyTW4wYw&#10;6nDhKTHvHQqcl2U24mzsZ+MYoj502OOy1IPw5piwm9JkrjDCToVxdIXmtGZ5N/72S9bDr7X9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ClbfY0QEAAKIDAAAOAAAAAAAAAAEAIAAAAB8BAABk&#10;cnMvZTJvRG9jLnhtbFBLBQYAAAAABgAGAFkBAABiBQAAAAA=&#10;">
              <v:fill on="f" focussize="0,0"/>
              <v:stroke on="f" weight="0.5pt"/>
              <v:imagedata o:title=""/>
              <o:lock v:ext="edit" aspectratio="f"/>
              <v:textbox inset="0mm,0mm,0mm,0mm" style="mso-fit-shape-to-text:t;">
                <w:txbxContent>
                  <w:p>
                    <w:pPr>
                      <w:pStyle w:val="9"/>
                      <w:ind w:firstLine="36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ind w:firstLine="360"/>
                          </w:pPr>
                          <w:r>
                            <w:fldChar w:fldCharType="begin"/>
                          </w:r>
                          <w:r>
                            <w:instrText xml:space="preserve"> PAGE  \* MERGEFORMAT </w:instrText>
                          </w:r>
                          <w:r>
                            <w:fldChar w:fldCharType="separate"/>
                          </w:r>
                          <w:r>
                            <w:t>35</w:t>
                          </w:r>
                          <w: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x0MkBAACZAwAADgAAAGRycy9lMm9Eb2MueG1srVPNjtMwEL4j8Q6W&#10;79Rpk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6vHQyQEAAJkDAAAOAAAAAAAAAAEAIAAAAB4BAABkcnMvZTJvRG9j&#10;LnhtbFBLBQYAAAAABgAGAFkBAABZBQAAAAA=&#10;">
              <v:fill on="f" focussize="0,0"/>
              <v:stroke on="f"/>
              <v:imagedata o:title=""/>
              <o:lock v:ext="edit" aspectratio="f"/>
              <v:textbox inset="0mm,0mm,0mm,0mm" style="mso-fit-shape-to-text:t;">
                <w:txbxContent>
                  <w:p>
                    <w:pPr>
                      <w:pStyle w:val="9"/>
                      <w:ind w:firstLine="360"/>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AD9478"/>
    <w:multiLevelType w:val="singleLevel"/>
    <w:tmpl w:val="5EAD947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4NmY4YTU4ZmRkNzRiMjU5ZDg1MmJjMDdjYzJkYWEifQ=="/>
  </w:docVars>
  <w:rsids>
    <w:rsidRoot w:val="00172A27"/>
    <w:rsid w:val="00045095"/>
    <w:rsid w:val="000A3658"/>
    <w:rsid w:val="00172A27"/>
    <w:rsid w:val="0028280A"/>
    <w:rsid w:val="002A4F56"/>
    <w:rsid w:val="002D531E"/>
    <w:rsid w:val="003E52F1"/>
    <w:rsid w:val="004134D9"/>
    <w:rsid w:val="00417061"/>
    <w:rsid w:val="00821D2B"/>
    <w:rsid w:val="009269A2"/>
    <w:rsid w:val="00B0498D"/>
    <w:rsid w:val="00C11696"/>
    <w:rsid w:val="00D576E4"/>
    <w:rsid w:val="00DE4BE5"/>
    <w:rsid w:val="00DF58D4"/>
    <w:rsid w:val="00F17F71"/>
    <w:rsid w:val="00F923F9"/>
    <w:rsid w:val="01C901A1"/>
    <w:rsid w:val="01CF6544"/>
    <w:rsid w:val="021A3740"/>
    <w:rsid w:val="02693733"/>
    <w:rsid w:val="02912BEC"/>
    <w:rsid w:val="03BF1B3F"/>
    <w:rsid w:val="04AA54A1"/>
    <w:rsid w:val="04FB7680"/>
    <w:rsid w:val="053A3164"/>
    <w:rsid w:val="074402CA"/>
    <w:rsid w:val="07652E72"/>
    <w:rsid w:val="07ED7189"/>
    <w:rsid w:val="08E3057F"/>
    <w:rsid w:val="08ED2854"/>
    <w:rsid w:val="09615163"/>
    <w:rsid w:val="0A124C6E"/>
    <w:rsid w:val="0A3F1B1B"/>
    <w:rsid w:val="0B193467"/>
    <w:rsid w:val="0C952804"/>
    <w:rsid w:val="0CD45D89"/>
    <w:rsid w:val="0D926EDA"/>
    <w:rsid w:val="0E1D2E3D"/>
    <w:rsid w:val="0EE60D2F"/>
    <w:rsid w:val="1001302C"/>
    <w:rsid w:val="102F23A6"/>
    <w:rsid w:val="109C2F25"/>
    <w:rsid w:val="10FB0EEF"/>
    <w:rsid w:val="12D96A97"/>
    <w:rsid w:val="152930B5"/>
    <w:rsid w:val="16316D86"/>
    <w:rsid w:val="164B182C"/>
    <w:rsid w:val="172D2B29"/>
    <w:rsid w:val="172F7235"/>
    <w:rsid w:val="17A808F2"/>
    <w:rsid w:val="188D49F1"/>
    <w:rsid w:val="196A7602"/>
    <w:rsid w:val="1A4563DB"/>
    <w:rsid w:val="1A516B2E"/>
    <w:rsid w:val="1ABB3C36"/>
    <w:rsid w:val="1BEB2455"/>
    <w:rsid w:val="1CA47E81"/>
    <w:rsid w:val="1DF35965"/>
    <w:rsid w:val="1E34475E"/>
    <w:rsid w:val="1EA77F37"/>
    <w:rsid w:val="20542BEE"/>
    <w:rsid w:val="20D12411"/>
    <w:rsid w:val="226A61B0"/>
    <w:rsid w:val="227315D1"/>
    <w:rsid w:val="22FF35CB"/>
    <w:rsid w:val="24134E54"/>
    <w:rsid w:val="26692F9C"/>
    <w:rsid w:val="2675172F"/>
    <w:rsid w:val="27550B20"/>
    <w:rsid w:val="27850FEB"/>
    <w:rsid w:val="279C0B59"/>
    <w:rsid w:val="27B506FD"/>
    <w:rsid w:val="27D466C1"/>
    <w:rsid w:val="2A1C6C80"/>
    <w:rsid w:val="2A3E27A2"/>
    <w:rsid w:val="2C66553C"/>
    <w:rsid w:val="2C862D18"/>
    <w:rsid w:val="2D4B2309"/>
    <w:rsid w:val="2E5B3DBF"/>
    <w:rsid w:val="2EEB312A"/>
    <w:rsid w:val="2F522CD5"/>
    <w:rsid w:val="30151F0D"/>
    <w:rsid w:val="30271214"/>
    <w:rsid w:val="315232D7"/>
    <w:rsid w:val="319E404D"/>
    <w:rsid w:val="31C416E2"/>
    <w:rsid w:val="32E41096"/>
    <w:rsid w:val="34BA37F6"/>
    <w:rsid w:val="35E93B87"/>
    <w:rsid w:val="364A4AFA"/>
    <w:rsid w:val="389E48A6"/>
    <w:rsid w:val="38EA21D0"/>
    <w:rsid w:val="38F117B0"/>
    <w:rsid w:val="3AAC0083"/>
    <w:rsid w:val="3C7C5F3B"/>
    <w:rsid w:val="3DFC0A8C"/>
    <w:rsid w:val="3E3D7F41"/>
    <w:rsid w:val="3E821842"/>
    <w:rsid w:val="41DD3A8D"/>
    <w:rsid w:val="427A6373"/>
    <w:rsid w:val="42D60EA2"/>
    <w:rsid w:val="436C5096"/>
    <w:rsid w:val="43B35E32"/>
    <w:rsid w:val="4400234C"/>
    <w:rsid w:val="442869F9"/>
    <w:rsid w:val="443B5BBB"/>
    <w:rsid w:val="45A9729F"/>
    <w:rsid w:val="46080A70"/>
    <w:rsid w:val="467D4684"/>
    <w:rsid w:val="4715598F"/>
    <w:rsid w:val="4AC61873"/>
    <w:rsid w:val="4AF0127D"/>
    <w:rsid w:val="4C12536E"/>
    <w:rsid w:val="4EDB463D"/>
    <w:rsid w:val="4FE74DC9"/>
    <w:rsid w:val="503D2C09"/>
    <w:rsid w:val="512E4DDC"/>
    <w:rsid w:val="5392229D"/>
    <w:rsid w:val="5397282A"/>
    <w:rsid w:val="54410CAC"/>
    <w:rsid w:val="54454F98"/>
    <w:rsid w:val="548A0C81"/>
    <w:rsid w:val="556C0F69"/>
    <w:rsid w:val="56552EB5"/>
    <w:rsid w:val="56950233"/>
    <w:rsid w:val="5760060E"/>
    <w:rsid w:val="57770C7B"/>
    <w:rsid w:val="585A2170"/>
    <w:rsid w:val="587A4999"/>
    <w:rsid w:val="58AF69A5"/>
    <w:rsid w:val="59356AD9"/>
    <w:rsid w:val="59A41605"/>
    <w:rsid w:val="59C04932"/>
    <w:rsid w:val="5A9C327E"/>
    <w:rsid w:val="5AA63AE8"/>
    <w:rsid w:val="5B8F75BC"/>
    <w:rsid w:val="5BCF1086"/>
    <w:rsid w:val="5BE9032C"/>
    <w:rsid w:val="5D0460D0"/>
    <w:rsid w:val="5DAC5E5F"/>
    <w:rsid w:val="5DFB41B8"/>
    <w:rsid w:val="5E565A8E"/>
    <w:rsid w:val="5EB804F7"/>
    <w:rsid w:val="5F607E16"/>
    <w:rsid w:val="60BA0101"/>
    <w:rsid w:val="62781DD9"/>
    <w:rsid w:val="63807988"/>
    <w:rsid w:val="643A375C"/>
    <w:rsid w:val="657001DE"/>
    <w:rsid w:val="66CD02B1"/>
    <w:rsid w:val="69AB3F71"/>
    <w:rsid w:val="69E1308E"/>
    <w:rsid w:val="6B2B3DFF"/>
    <w:rsid w:val="6B79280B"/>
    <w:rsid w:val="6CC95E3A"/>
    <w:rsid w:val="6D713DD1"/>
    <w:rsid w:val="6E1308AE"/>
    <w:rsid w:val="6FDA011C"/>
    <w:rsid w:val="6FDD2E61"/>
    <w:rsid w:val="701E34B3"/>
    <w:rsid w:val="7092012E"/>
    <w:rsid w:val="72181CB5"/>
    <w:rsid w:val="727662A7"/>
    <w:rsid w:val="72A53A36"/>
    <w:rsid w:val="73F6649E"/>
    <w:rsid w:val="73FF670B"/>
    <w:rsid w:val="748C6679"/>
    <w:rsid w:val="753C7334"/>
    <w:rsid w:val="75E808F1"/>
    <w:rsid w:val="78104AA8"/>
    <w:rsid w:val="784F737E"/>
    <w:rsid w:val="78D855C6"/>
    <w:rsid w:val="7AFD2358"/>
    <w:rsid w:val="7B0A3E91"/>
    <w:rsid w:val="7B9F2B75"/>
    <w:rsid w:val="7C8C6FFA"/>
    <w:rsid w:val="7CE00EED"/>
    <w:rsid w:val="7D2232B3"/>
    <w:rsid w:val="7D6A0504"/>
    <w:rsid w:val="7E2C0E22"/>
    <w:rsid w:val="7E97390A"/>
    <w:rsid w:val="7FA14FA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eastAsia="宋体" w:asciiTheme="minorHAnsi" w:hAnsiTheme="minorHAnsi" w:cstheme="minorBidi"/>
      <w:kern w:val="2"/>
      <w:sz w:val="28"/>
      <w:szCs w:val="24"/>
      <w:lang w:val="en-US" w:eastAsia="zh-CN" w:bidi="ar-SA"/>
    </w:rPr>
  </w:style>
  <w:style w:type="paragraph" w:styleId="4">
    <w:name w:val="heading 1"/>
    <w:basedOn w:val="1"/>
    <w:next w:val="1"/>
    <w:qFormat/>
    <w:uiPriority w:val="0"/>
    <w:pPr>
      <w:keepNext/>
      <w:keepLines/>
      <w:spacing w:line="576" w:lineRule="auto"/>
      <w:outlineLvl w:val="0"/>
    </w:pPr>
    <w:rPr>
      <w:b/>
      <w:kern w:val="44"/>
      <w:sz w:val="32"/>
    </w:rPr>
  </w:style>
  <w:style w:type="paragraph" w:styleId="5">
    <w:name w:val="heading 2"/>
    <w:basedOn w:val="1"/>
    <w:next w:val="1"/>
    <w:unhideWhenUsed/>
    <w:qFormat/>
    <w:uiPriority w:val="0"/>
    <w:pPr>
      <w:keepNext/>
      <w:keepLines/>
      <w:spacing w:line="413" w:lineRule="auto"/>
      <w:outlineLvl w:val="1"/>
    </w:pPr>
    <w:rPr>
      <w:rFonts w:ascii="Arial" w:hAnsi="Arial"/>
      <w:b/>
      <w:sz w:val="32"/>
    </w:rPr>
  </w:style>
  <w:style w:type="paragraph" w:styleId="6">
    <w:name w:val="heading 3"/>
    <w:basedOn w:val="1"/>
    <w:next w:val="1"/>
    <w:link w:val="24"/>
    <w:unhideWhenUsed/>
    <w:qFormat/>
    <w:uiPriority w:val="9"/>
    <w:pPr>
      <w:keepNext/>
      <w:keepLines/>
      <w:spacing w:before="260" w:beforeLines="0" w:beforeAutospacing="0" w:after="260" w:afterLines="0" w:afterAutospacing="0" w:line="413" w:lineRule="auto"/>
      <w:outlineLvl w:val="2"/>
    </w:pPr>
    <w:rPr>
      <w:b/>
      <w:sz w:val="32"/>
    </w:rPr>
  </w:style>
  <w:style w:type="paragraph" w:styleId="7">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3"/>
    <w:qFormat/>
    <w:uiPriority w:val="0"/>
    <w:pPr>
      <w:ind w:left="640" w:leftChars="200"/>
      <w:outlineLvl w:val="0"/>
    </w:pPr>
    <w:rPr>
      <w:rFonts w:ascii="Arial" w:hAnsi="Arial" w:eastAsia="仿宋_GB2312"/>
      <w:b/>
      <w:sz w:val="32"/>
    </w:rPr>
  </w:style>
  <w:style w:type="paragraph" w:styleId="3">
    <w:name w:val="Body Text Indent"/>
    <w:basedOn w:val="1"/>
    <w:qFormat/>
    <w:uiPriority w:val="0"/>
    <w:pPr>
      <w:ind w:left="1120" w:hanging="1120"/>
    </w:pPr>
  </w:style>
  <w:style w:type="paragraph" w:styleId="8">
    <w:name w:val="Balloon Text"/>
    <w:basedOn w:val="1"/>
    <w:link w:val="20"/>
    <w:qFormat/>
    <w:uiPriority w:val="0"/>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line="432" w:lineRule="auto"/>
      <w:ind w:left="0" w:right="0" w:firstLine="0"/>
      <w:jc w:val="left"/>
    </w:pPr>
    <w:rPr>
      <w:color w:val="000000"/>
      <w:kern w:val="0"/>
      <w:sz w:val="24"/>
      <w:lang w:val="en-US" w:eastAsia="zh-CN" w:bidi="ar"/>
    </w:rPr>
  </w:style>
  <w:style w:type="paragraph" w:customStyle="1" w:styleId="16">
    <w:name w:val="Body text|1"/>
    <w:basedOn w:val="1"/>
    <w:qFormat/>
    <w:uiPriority w:val="0"/>
    <w:pPr>
      <w:spacing w:line="391" w:lineRule="auto"/>
      <w:ind w:firstLine="400"/>
    </w:pPr>
    <w:rPr>
      <w:rFonts w:ascii="宋体" w:hAnsi="宋体" w:cs="宋体"/>
      <w:sz w:val="30"/>
      <w:szCs w:val="30"/>
      <w:lang w:val="zh-TW" w:eastAsia="zh-TW" w:bidi="zh-TW"/>
    </w:rPr>
  </w:style>
  <w:style w:type="paragraph" w:customStyle="1" w:styleId="17">
    <w:name w:val="WPSOffice手动目录 1"/>
    <w:qFormat/>
    <w:uiPriority w:val="0"/>
    <w:rPr>
      <w:rFonts w:asciiTheme="minorHAnsi" w:hAnsiTheme="minorHAnsi" w:eastAsiaTheme="minorEastAsia" w:cstheme="minorBidi"/>
      <w:lang w:val="en-US" w:eastAsia="zh-CN" w:bidi="ar-SA"/>
    </w:rPr>
  </w:style>
  <w:style w:type="paragraph" w:customStyle="1" w:styleId="18">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19">
    <w:name w:val="Table Paragraph"/>
    <w:basedOn w:val="1"/>
    <w:unhideWhenUsed/>
    <w:qFormat/>
    <w:uiPriority w:val="1"/>
    <w:rPr>
      <w:rFonts w:hint="eastAsia"/>
      <w:sz w:val="22"/>
      <w:szCs w:val="22"/>
    </w:rPr>
  </w:style>
  <w:style w:type="character" w:customStyle="1" w:styleId="20">
    <w:name w:val="批注框文本 Char"/>
    <w:basedOn w:val="15"/>
    <w:link w:val="8"/>
    <w:qFormat/>
    <w:uiPriority w:val="0"/>
    <w:rPr>
      <w:rFonts w:eastAsia="宋体"/>
      <w:kern w:val="2"/>
      <w:sz w:val="18"/>
      <w:szCs w:val="18"/>
    </w:rPr>
  </w:style>
  <w:style w:type="character" w:customStyle="1" w:styleId="21">
    <w:name w:val="font71"/>
    <w:basedOn w:val="15"/>
    <w:qFormat/>
    <w:uiPriority w:val="0"/>
    <w:rPr>
      <w:rFonts w:hint="default" w:ascii="Times New Roman" w:hAnsi="Times New Roman" w:eastAsia="楷体_GB2312" w:cs="Times New Roman"/>
      <w:sz w:val="28"/>
      <w:szCs w:val="24"/>
    </w:rPr>
  </w:style>
  <w:style w:type="character" w:customStyle="1" w:styleId="22">
    <w:name w:val="font51"/>
    <w:basedOn w:val="15"/>
    <w:qFormat/>
    <w:uiPriority w:val="0"/>
    <w:rPr>
      <w:rFonts w:hint="eastAsia" w:ascii="宋体" w:hAnsi="宋体" w:eastAsia="宋体" w:cs="宋体"/>
      <w:color w:val="000000"/>
      <w:sz w:val="20"/>
      <w:szCs w:val="20"/>
      <w:u w:val="none"/>
    </w:rPr>
  </w:style>
  <w:style w:type="character" w:customStyle="1" w:styleId="23">
    <w:name w:val="font01"/>
    <w:basedOn w:val="15"/>
    <w:qFormat/>
    <w:uiPriority w:val="0"/>
    <w:rPr>
      <w:rFonts w:hint="default" w:ascii="Arial" w:hAnsi="Arial" w:cs="Arial"/>
      <w:color w:val="000000"/>
      <w:sz w:val="20"/>
      <w:szCs w:val="20"/>
      <w:u w:val="none"/>
    </w:rPr>
  </w:style>
  <w:style w:type="character" w:customStyle="1" w:styleId="24">
    <w:name w:val="标题 3 Char"/>
    <w:link w:val="6"/>
    <w:qFormat/>
    <w:uiPriority w:val="9"/>
    <w:rPr>
      <w:b/>
      <w:sz w:val="32"/>
    </w:rPr>
  </w:style>
  <w:style w:type="paragraph" w:customStyle="1" w:styleId="25">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7295</Words>
  <Characters>7632</Characters>
  <Lines>196</Lines>
  <Paragraphs>55</Paragraphs>
  <TotalTime>30</TotalTime>
  <ScaleCrop>false</ScaleCrop>
  <LinksUpToDate>false</LinksUpToDate>
  <CharactersWithSpaces>7755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2021-07-16T01:00:00Z</dcterms:created>
  <dc:creator>vivian</dc:creator>
  <cp:lastModifiedBy>ThinkPad</cp:lastModifiedBy>
  <cp:lastPrinted>2021-08-26T08:33:00Z</cp:lastPrinted>
  <dcterms:modified xsi:type="dcterms:W3CDTF">2022-09-22T01:54:38Z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7A9C5855DCF74E96B8DDD78CC986948E</vt:lpwstr>
  </property>
</Properties>
</file>