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2D" w:rsidRDefault="006B702D"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  <w:bookmarkStart w:id="0" w:name="_GoBack"/>
      <w:bookmarkEnd w:id="0"/>
    </w:p>
    <w:p w:rsidR="006B702D" w:rsidRDefault="007C23D3"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ascii="方正小标宋简体" w:eastAsia="方正小标宋简体" w:hint="eastAsia"/>
          <w:color w:val="FF0000"/>
          <w:spacing w:val="30"/>
          <w:w w:val="60"/>
          <w:sz w:val="96"/>
          <w:szCs w:val="96"/>
        </w:rPr>
        <w:t>文件</w:t>
      </w:r>
    </w:p>
    <w:p w:rsidR="006B702D" w:rsidRDefault="006B702D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6B702D" w:rsidRDefault="006B702D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6B702D" w:rsidRDefault="007C23D3" w:rsidP="00964F2E">
      <w:pPr>
        <w:tabs>
          <w:tab w:val="left" w:pos="10190"/>
        </w:tabs>
        <w:snapToGrid w:val="0"/>
        <w:spacing w:beforeLines="10" w:line="460" w:lineRule="exact"/>
        <w:ind w:firstLineChars="98" w:firstLine="305"/>
        <w:jc w:val="center"/>
        <w:rPr>
          <w:rFonts w:ascii="Times New Roman" w:eastAsia="仿宋_GB2312" w:hAnsi="Times New Roman"/>
          <w:sz w:val="32"/>
          <w:szCs w:val="32"/>
        </w:rPr>
      </w:pPr>
      <w:bookmarkStart w:id="1" w:name="文号"/>
      <w:r>
        <w:rPr>
          <w:rFonts w:ascii="Times New Roman" w:eastAsia="仿宋_GB2312" w:hAnsi="Times New Roman" w:hint="eastAsia"/>
          <w:sz w:val="32"/>
          <w:szCs w:val="32"/>
        </w:rPr>
        <w:t>连建房监</w:t>
      </w:r>
      <w:r>
        <w:rPr>
          <w:rFonts w:ascii="Times New Roman" w:eastAsia="仿宋_GB2312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345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bookmarkEnd w:id="1"/>
    </w:p>
    <w:p w:rsidR="006B702D" w:rsidRDefault="00E92C65" w:rsidP="00964F2E">
      <w:pPr>
        <w:snapToGrid w:val="0"/>
        <w:spacing w:beforeLines="10" w:line="460" w:lineRule="exact"/>
        <w:rPr>
          <w:rFonts w:ascii="仿宋_GB2312" w:eastAsia="仿宋_GB2312" w:hAnsi="Batang"/>
          <w:sz w:val="44"/>
        </w:rPr>
      </w:pPr>
      <w:r w:rsidRPr="00E92C65">
        <w:rPr>
          <w:rFonts w:ascii="仿宋_GB2312" w:eastAsia="仿宋_GB2312" w:hAnsi="Batang"/>
          <w:sz w:val="44"/>
          <w:szCs w:val="44"/>
        </w:rPr>
        <w:pict>
          <v:line id="直线 20" o:spid="_x0000_s1026" style="position:absolute;left:0;text-align:left;z-index:251658240;mso-width-relative:page;mso-height-relative:page" from="2.25pt,7.75pt" to="441pt,7.8pt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VCeF1QAAAAcBAAAPAAAAAAAAAAEAIAAA&#10;ACIAAABkcnMvZG93bnJldi54bWxQSwECFAAUAAAACACHTuJAB2DWsNYBAACfAwAADgAAAAAAAAAB&#10;ACAAAAAkAQAAZHJzL2Uyb0RvYy54bWxQSwUGAAAAAAYABgBZAQAAbAUAAAAA&#10;" strokecolor="red" strokeweight="2.25pt"/>
        </w:pict>
      </w:r>
    </w:p>
    <w:p w:rsidR="006B702D" w:rsidRDefault="006B702D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D3D3D"/>
          <w:kern w:val="0"/>
          <w:sz w:val="44"/>
          <w:szCs w:val="44"/>
        </w:rPr>
      </w:pPr>
      <w:bookmarkStart w:id="2" w:name="附件"/>
      <w:bookmarkEnd w:id="2"/>
    </w:p>
    <w:p w:rsidR="006B702D" w:rsidRDefault="007C23D3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连云港市住房和城乡建设局</w:t>
      </w:r>
    </w:p>
    <w:p w:rsidR="006B702D" w:rsidRDefault="007C23D3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关于公布2019年度连云港市市区房地产</w:t>
      </w:r>
    </w:p>
    <w:p w:rsidR="006B702D" w:rsidRDefault="007C23D3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开发企业信用考评等级的通知</w:t>
      </w:r>
    </w:p>
    <w:p w:rsidR="006B702D" w:rsidRDefault="007C23D3">
      <w:pPr>
        <w:adjustRightInd w:val="0"/>
        <w:snapToGrid w:val="0"/>
        <w:spacing w:line="560" w:lineRule="exact"/>
        <w:ind w:firstLineChars="200" w:firstLine="442"/>
        <w:jc w:val="center"/>
        <w:rPr>
          <w:rFonts w:ascii="宋体" w:hAnsi="宋体" w:cs="宋体"/>
          <w:color w:val="111111"/>
          <w:kern w:val="0"/>
          <w:sz w:val="23"/>
          <w:szCs w:val="23"/>
        </w:rPr>
      </w:pPr>
      <w:r>
        <w:rPr>
          <w:rFonts w:ascii="宋体" w:hAnsi="宋体" w:cs="宋体" w:hint="eastAsia"/>
          <w:color w:val="111111"/>
          <w:kern w:val="0"/>
          <w:sz w:val="23"/>
          <w:szCs w:val="23"/>
        </w:rPr>
        <w:t xml:space="preserve">　　</w:t>
      </w:r>
    </w:p>
    <w:p w:rsidR="006B702D" w:rsidRDefault="007C23D3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各区（管委会）住建局，局相关处室、单位，市区各房地产开发企业：</w:t>
      </w:r>
    </w:p>
    <w:p w:rsidR="006B702D" w:rsidRDefault="007C23D3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根据《连云港市市区房地产开发企业信用考评暂行办法（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修订版）》（连住房规发〔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号），市住建局组织开展了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年度连云港市市区（不含赣榆区，下同）房地产开发企业的信用考评工作。现将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年度连云港市市区房地产开发企业信用考评等级予以公布。</w:t>
      </w:r>
    </w:p>
    <w:p w:rsidR="006B702D" w:rsidRDefault="007C23D3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涉及问题楼盘等特殊情况的房地产开发企业由属地政府严格按照《连云港市区房地产社会矛盾处置工作的意见》（连政办发</w:t>
      </w:r>
      <w:r>
        <w:rPr>
          <w:rFonts w:ascii="Times New Roman" w:eastAsia="仿宋_GB2312" w:hAnsi="Times New Roman"/>
          <w:sz w:val="32"/>
          <w:szCs w:val="32"/>
        </w:rPr>
        <w:lastRenderedPageBreak/>
        <w:t>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177</w:t>
      </w:r>
      <w:r>
        <w:rPr>
          <w:rFonts w:ascii="Times New Roman" w:eastAsia="仿宋_GB2312" w:hAnsi="Times New Roman"/>
          <w:sz w:val="32"/>
          <w:szCs w:val="32"/>
        </w:rPr>
        <w:t>号）和《关于进一步规范市区房地产市场管理的若干意见》（连政办发〔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122</w:t>
      </w:r>
      <w:r>
        <w:rPr>
          <w:rFonts w:ascii="Times New Roman" w:eastAsia="仿宋_GB2312" w:hAnsi="Times New Roman"/>
          <w:sz w:val="32"/>
          <w:szCs w:val="32"/>
        </w:rPr>
        <w:t>号）提出处置意见。各房地产开发企业应依法依规经营，积极主动履约，争做诚实守信的房地产开发企业。</w:t>
      </w:r>
    </w:p>
    <w:p w:rsidR="006B702D" w:rsidRDefault="007C23D3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　　</w:t>
      </w:r>
    </w:p>
    <w:p w:rsidR="006B702D" w:rsidRDefault="007C23D3">
      <w:pPr>
        <w:adjustRightInd w:val="0"/>
        <w:snapToGrid w:val="0"/>
        <w:spacing w:line="560" w:lineRule="exact"/>
        <w:ind w:leftChars="308" w:left="1533" w:hangingChars="294" w:hanging="9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年度连云港市市区房地产开发企业信用考评等级名单</w:t>
      </w:r>
    </w:p>
    <w:p w:rsidR="006B702D" w:rsidRDefault="006B702D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B702D" w:rsidRDefault="006B702D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B702D" w:rsidRDefault="006B702D">
      <w:pPr>
        <w:adjustRightInd w:val="0"/>
        <w:snapToGrid w:val="0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6B702D" w:rsidRDefault="007C23D3">
      <w:pPr>
        <w:adjustRightInd w:val="0"/>
        <w:snapToGrid w:val="0"/>
        <w:spacing w:line="560" w:lineRule="exact"/>
        <w:ind w:firstLineChars="1372" w:firstLine="426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连云港市住房和城乡建设局</w:t>
      </w:r>
    </w:p>
    <w:p w:rsidR="006B702D" w:rsidRDefault="007C23D3">
      <w:pPr>
        <w:adjustRightInd w:val="0"/>
        <w:snapToGrid w:val="0"/>
        <w:spacing w:line="560" w:lineRule="exact"/>
        <w:ind w:right="632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B702D" w:rsidRDefault="006B702D" w:rsidP="007C23D3">
      <w:pPr>
        <w:pBdr>
          <w:top w:val="none" w:sz="0" w:space="1" w:color="auto"/>
          <w:bottom w:val="none" w:sz="0" w:space="1" w:color="auto"/>
        </w:pBdr>
        <w:adjustRightInd w:val="0"/>
        <w:snapToGrid w:val="0"/>
        <w:spacing w:line="300" w:lineRule="auto"/>
        <w:ind w:leftChars="87" w:left="988" w:hangingChars="300" w:hanging="813"/>
        <w:rPr>
          <w:sz w:val="28"/>
          <w:szCs w:val="28"/>
        </w:rPr>
      </w:pPr>
    </w:p>
    <w:p w:rsidR="006B702D" w:rsidRDefault="006B702D" w:rsidP="007C23D3">
      <w:pPr>
        <w:pBdr>
          <w:top w:val="none" w:sz="0" w:space="1" w:color="auto"/>
          <w:bottom w:val="none" w:sz="0" w:space="1" w:color="auto"/>
        </w:pBdr>
        <w:adjustRightInd w:val="0"/>
        <w:snapToGrid w:val="0"/>
        <w:spacing w:line="300" w:lineRule="auto"/>
        <w:ind w:leftChars="87" w:left="988" w:hangingChars="300" w:hanging="813"/>
        <w:rPr>
          <w:sz w:val="28"/>
          <w:szCs w:val="28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6B702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</w:p>
    <w:p w:rsidR="006B702D" w:rsidRDefault="007C23D3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6B702D" w:rsidRDefault="007C23D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2019年度连云港市市区房地产开发企业</w:t>
      </w:r>
    </w:p>
    <w:p w:rsidR="006B702D" w:rsidRDefault="007C23D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信用考评等级名单</w:t>
      </w:r>
    </w:p>
    <w:tbl>
      <w:tblPr>
        <w:tblStyle w:val="a8"/>
        <w:tblW w:w="9300" w:type="dxa"/>
        <w:tblLayout w:type="fixed"/>
        <w:tblLook w:val="04A0"/>
      </w:tblPr>
      <w:tblGrid>
        <w:gridCol w:w="1080"/>
        <w:gridCol w:w="5043"/>
        <w:gridCol w:w="3177"/>
      </w:tblGrid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企业名称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信用等级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保利连云港房地产开发有限公司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连云港财信房地产开发有限公司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连云港融辉置业有限公司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连云港东碧房地产开发有限公司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连云港恒隆房地产开发有限公司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绿地集团连云港东部置业有限公司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连云港市港龙置业有限公司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连云港亿博房地产开发有限公司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连云港天峻置地有限公司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连云港碧城置业有限公司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连云港房政置业有限公司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连云港永盛房地产开发有限公司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连云港金辉置业有限公司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万润房地产开发有限公司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连云港金鹰置业有限公司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江苏东盛房地产综合开发有限公司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连云港中核房地产开发有限公司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13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连云港顺丰房地产有限公司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连云港锦绣香江置业有限公司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连云港市港华置业有限公司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连云港市江山房地产开发有限公司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连云港兴房置业有限公司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连云港市联昊房地产开发有限公司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连云港德惠置业有限公司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25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连云港市城建房地产开发有限公司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连云港市美吉房地产开发有限公司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连云港市瑞开房地产开发有限公司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连云港华磁置业有限公司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连云港光伸置业有限公司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连云港祥生连报房地产开发有限公司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连云港市嘉鸿置业有限公司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连云港兴亿达置业有限公司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连云港香城置业有限公司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连云港金大建设工程有限公司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连云港市同城地产集团有限责任公司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连云港云龙房地产开发有限公司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江苏宝利华置业有限公司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连云港恒润置业有限公司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连云港市融丰置业有限公司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连云港成泰置业有限公司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连云港嘉禾置业有限公司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连云港融侨置业有限公司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连云港金港湾建设开发有限公司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连云港汪泉房地产开发有限公司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连云港保利海连房地产开发有限公司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江苏方洋集团有限公司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连云港诚基置业有限公司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连云港绿源置业有限公司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连云港福港房地产开发有限公司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连云港景力房地产有限公司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连云港港利房产开发有限公司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连云港帝豪实业发展有限公司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53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连云港豪雅置业有限公司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连云港银恒置业有限公司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连云港市苍梧房地产开发有限公司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江苏德惠建设集团连云港有限公司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连云港云顶置业有限公司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平高置业（连云港）有限公司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连云港澳洋置业有限公司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连云港润宏安房地产开发有限公司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连云港兰江置业有限公司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连云港市富翔置业有限公司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连云港瀚格利置业有限公司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江苏润科地产开发有限公司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连云港连昆创劲建设开发有限公司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连云港鹰游房地产开发有限责任公司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江苏金海置业有限公司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连云港烨龙房地产开发有限公司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连云港宏逸置业有限公司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江苏尚荣房地产开发有限公司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连云港农发置业有限公司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连云港市圣承房地产开发有限公司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连云港三福房地产开发有限公司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ind w:firstLineChars="300" w:firstLine="693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连云港佳富置业有限公司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连云港建豪置业有限公司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连云港市日月房地产开发有限公司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江苏大陆桥国际商务投资发展有限公司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江苏海日有限公司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江苏连云港腾亚房地产开发有限公司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连云港花果山国际俱乐部有限公司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81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连云港利玛置业有限公司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连云港仕方房地产开发有限公司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连云港市明珠房地产开发有限公司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连云港新海岸房地产开发有限公司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连云港云泰房地产开发有限公司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江苏百实达置业有限公司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华东国际时尚物料城开发（连云港）有限公司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江苏东驰置业有限公司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江苏海州湾发展集团有限公司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江苏恒创房地产开发有限公司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江苏省金桥房地产开发有限公司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江苏新亚中置业有限公司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连云港滨河置业有限公司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连云港大成房地产开发有限公司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连云港德兰置业有限公司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连云港德源泰置业有限公司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连云港海川置业有限公司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连云港海润置业有限公司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连云港恒大名都置业有限公司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连云港泓桥置业有限公司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连云港久和置业投资发展有限公司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连云港瑞安置业有限公司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连云港市德泰房地产开发有限公司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ind w:firstLineChars="594" w:firstLine="137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连云港市房屋建设开发有限公司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连云港市建院置业有限公司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连云港市舒欣房地产开发有限公司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连云港市苏东置业有限公司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连云港市亿人城建开发有限公司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109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连云港市中联投资有限公司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连云港泰恒房地产开发有限公司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连云港天惠房地产开发有限公司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连云港万悦置业有限公司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连云港香溢广电房地产开发有限公司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连云港香溢置业有限公司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连云港兴业房地产开发有限公司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连云港运通房地产开发有限公司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连云港长裕置业有限公司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连云港振兴汽车城置业有限公司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连云港中盛置业有限公司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连云港嘉富城房地产开发有限公司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连云港兴隆实业集团有限公司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连云港市凤祥铭居房地产开发有限公司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连云港祥生连报弘景房地产开发有限公司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连云港市天顺房地产开发有限公司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连云港长荣置业有限公司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连云港市国大房地产开发有限公司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连云港瀛洲地产有限公司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连云港华阳房地产开发有限公司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连云港瑞丰房地产开发有限公司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丰惠（连云港）置业有限公司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江苏宏荣置业有限公司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江苏省中油泰富置业有限公司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连云港八佰房地产开发有限公司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连云港大众兴房地产开发有限公司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连云港东瑞房地产开发有限公司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连云港富邦城建投资有限公司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137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连云港港汇置业有限公司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连云港广和置业有限公司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连云港宏宇置业有限公司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连云港华恺房地产开发有限公司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连云港启秀置业发展有限公司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连云港市东唐置业有限公司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连云港市凤凰文化旅游发展有限公司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连云港市海基置业有限公司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连云港市华瑞房地产开发有限公司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连云港市淮海置业有限公司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连云港苏宁置业有限公司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连云港天元房地产开发有限公司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连云港伟恒实业有限公司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连云港西湾置业有限公司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连云港祥源房地产开发有限公司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连云港新大陆置业有限公司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连云港新卓置业有限公司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连云港银泰置业发展有限公司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连云港中茵房地产有限公司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连云港高科投资发展有限公司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连云港润林置业有限公司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51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连云港苏海投资有限公司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连云港亿诚置业有限公司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连云港煌盛实业投资有限公司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连云港天乾房地产开发有限公司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15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连云港忠达房地产开发有限公司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江苏两淮盐化有限公司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连云港市碧桂园房地产开发有限公司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165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连云港鼎升房地产开发有限公司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连云港市东浦置业有限公司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连云港市福地房地产投资有限公司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连云港巨龙花园房地产开发有限公司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连云港酒连房地产开发有限公司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连云港市众志房地产开发有限公司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连云港中苏木业有限公司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连云港鼎达置业有限公司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连云港广盛元房地产开发有限公司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连云港江天房地产开发有限公司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连云港隆鑫房地产开发有限公司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连云港市义龙置业有限公司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连云港京润置业有限公司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连云港新城置业有限公司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江苏昌润房地产开发有限公司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江苏金科地产投资有限公司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连云港众和置业有限公司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连云港华龙房地产开发有限公司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连云港杭汽轮香溢置业有限公司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连云港金运房地产开发有限公司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连云港东亚房地产开发有限公司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连云港万锦房地产开发有限公司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连云港平益华置业有限公司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连云港森林花园置业有限公司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连云港中豪房地产开发有限公司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连云港万山房地产开发有限公司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连云港博大房地产开发有限公司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连云港利华置业有限公司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193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连云港凯捷利房地产有限公司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194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连云港市荣阳房地产开发有限公司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195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连云港赛诺房地产开发有限公司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196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连云港市远通房地产开发有限公司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197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连云港金满楼置业有限公司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198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连云港宏业房地产开发有限公司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199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连云港基泰置业有限公司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200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连云港中复连众房地产开发有限公司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连云港东南置业有限公司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  <w:tr w:rsidR="006B702D">
        <w:trPr>
          <w:trHeight w:val="437"/>
        </w:trPr>
        <w:tc>
          <w:tcPr>
            <w:tcW w:w="1080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</w:t>
            </w:r>
          </w:p>
        </w:tc>
        <w:tc>
          <w:tcPr>
            <w:tcW w:w="5043" w:type="dxa"/>
            <w:noWrap/>
            <w:vAlign w:val="center"/>
          </w:tcPr>
          <w:p w:rsidR="006B702D" w:rsidRDefault="007C23D3">
            <w:pPr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连云港宝翔置业有限公司</w:t>
            </w:r>
          </w:p>
        </w:tc>
        <w:tc>
          <w:tcPr>
            <w:tcW w:w="3177" w:type="dxa"/>
            <w:noWrap/>
            <w:vAlign w:val="center"/>
          </w:tcPr>
          <w:p w:rsidR="006B702D" w:rsidRDefault="007C23D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</w:tr>
    </w:tbl>
    <w:p w:rsidR="006B702D" w:rsidRDefault="006B702D"/>
    <w:p w:rsidR="006B702D" w:rsidRDefault="006B702D">
      <w:pPr>
        <w:snapToGrid w:val="0"/>
        <w:spacing w:line="460" w:lineRule="exact"/>
        <w:rPr>
          <w:rFonts w:ascii="仿宋_GB2312" w:eastAsia="仿宋_GB2312" w:hAnsi="Batang"/>
          <w:sz w:val="44"/>
        </w:rPr>
      </w:pPr>
    </w:p>
    <w:p w:rsidR="006B702D" w:rsidRDefault="006B702D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6B702D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6B702D" w:rsidRDefault="007C23D3" w:rsidP="007C23D3">
      <w:pPr>
        <w:pBdr>
          <w:top w:val="single" w:sz="4" w:space="1" w:color="auto"/>
        </w:pBdr>
        <w:adjustRightInd w:val="0"/>
        <w:snapToGrid w:val="0"/>
        <w:spacing w:line="600" w:lineRule="exact"/>
        <w:ind w:firstLineChars="20" w:firstLine="54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抄送：市发改委、市城管局、市自然资源和规划局、市市场监督管理局、</w:t>
      </w:r>
    </w:p>
    <w:p w:rsidR="006B702D" w:rsidRDefault="007C23D3" w:rsidP="007C23D3">
      <w:pPr>
        <w:pBdr>
          <w:top w:val="single" w:sz="4" w:space="1" w:color="auto"/>
        </w:pBdr>
        <w:adjustRightInd w:val="0"/>
        <w:snapToGrid w:val="0"/>
        <w:spacing w:line="600" w:lineRule="exact"/>
        <w:ind w:firstLineChars="346" w:firstLine="9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市信用办、连云港银监局、人民银行连云港分行。</w:t>
      </w:r>
    </w:p>
    <w:p w:rsidR="006B702D" w:rsidRDefault="007C23D3" w:rsidP="007C23D3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20" w:firstLine="54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连云港市住房和城乡建设局办公室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 </w:t>
      </w:r>
      <w:r w:rsidR="00964F2E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日印发</w:t>
      </w:r>
      <w:r w:rsidR="00E92C65" w:rsidRPr="00E92C65">
        <w:rPr>
          <w:rFonts w:ascii="Times New Roman" w:eastAsia="仿宋_GB2312" w:hAnsi="Times New Roman"/>
          <w:b/>
          <w:bCs/>
          <w:sz w:val="28"/>
          <w:szCs w:val="28"/>
        </w:rPr>
        <w:pict>
          <v:line id="直线 25" o:spid="_x0000_s1027" style="position:absolute;left:0;text-align:left;z-index:251659264;mso-position-horizontal-relative:text;mso-position-vertical-relative:text;mso-width-relative:page;mso-height-relative:page" from="2.25pt,-1058.25pt" to="441pt,-1058.2pt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Emxt3ZAAAADQEAAA8AAAAAAAAAAQAg&#10;AAAAIgAAAGRycy9kb3ducmV2LnhtbFBLAQIUABQAAAAIAIdO4kBgP9681AEAAJ4DAAAOAAAAAAAA&#10;AAEAIAAAACgBAABkcnMvZTJvRG9jLnhtbFBLBQYAAAAABgAGAFkBAABuBQAAAAA=&#10;"/>
        </w:pict>
      </w:r>
    </w:p>
    <w:sectPr w:rsidR="006B702D" w:rsidSect="006B702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481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2D" w:rsidRDefault="006B702D" w:rsidP="006B702D">
      <w:r>
        <w:separator/>
      </w:r>
    </w:p>
  </w:endnote>
  <w:endnote w:type="continuationSeparator" w:id="1">
    <w:p w:rsidR="006B702D" w:rsidRDefault="006B702D" w:rsidP="006B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2D" w:rsidRDefault="00E92C6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20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LhoSD8EBAABwAwAADgAAAAAAAAABACAAAAAeAQAAZHJzL2Uyb0RvYy54bWxQSwUG&#10;AAAAAAYABgBZAQAAUQUAAAAA&#10;" filled="f" stroked="f">
          <v:textbox style="mso-fit-shape-to-text:t" inset="0,0,0,0">
            <w:txbxContent>
              <w:p w:rsidR="006B702D" w:rsidRDefault="00E92C65">
                <w:pPr>
                  <w:pStyle w:val="a5"/>
                  <w:rPr>
                    <w:rFonts w:ascii="Times New Roman" w:eastAsia="微软雅黑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7C23D3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964F2E">
                  <w:rPr>
                    <w:rFonts w:ascii="Times New Roman" w:hAnsi="Times New Roman"/>
                    <w:noProof/>
                    <w:sz w:val="28"/>
                    <w:szCs w:val="28"/>
                  </w:rPr>
                  <w:t>- 10 -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2D" w:rsidRDefault="00E92C65">
    <w:pPr>
      <w:pStyle w:val="a5"/>
      <w:ind w:right="840"/>
      <w:rPr>
        <w:sz w:val="28"/>
        <w:szCs w:val="28"/>
      </w:rPr>
    </w:pPr>
    <w:r w:rsidRPr="00E92C6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08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AFVI2OwAEAAHADAAAOAAAAAAAAAAEAIAAAAB4BAABkcnMvZTJvRG9jLnhtbFBLBQYA&#10;AAAABgAGAFkBAABQBQAAAAA=&#10;" filled="f" stroked="f">
          <v:textbox style="mso-fit-shape-to-text:t" inset="0,0,0,0">
            <w:txbxContent>
              <w:p w:rsidR="006B702D" w:rsidRDefault="00E92C65">
                <w:pPr>
                  <w:pStyle w:val="a5"/>
                  <w:rPr>
                    <w:rFonts w:ascii="Times New Roman" w:eastAsia="微软雅黑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7C23D3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964F2E">
                  <w:rPr>
                    <w:rFonts w:ascii="Times New Roman" w:hAnsi="Times New Roman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2D" w:rsidRDefault="006B702D" w:rsidP="006B702D">
      <w:r>
        <w:separator/>
      </w:r>
    </w:p>
  </w:footnote>
  <w:footnote w:type="continuationSeparator" w:id="1">
    <w:p w:rsidR="006B702D" w:rsidRDefault="006B702D" w:rsidP="006B7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2D" w:rsidRDefault="006B702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201"/>
  <w:drawingGridVerticalSpacing w:val="481"/>
  <w:displayHorizontalDrawingGridEvery w:val="0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45D6B"/>
    <w:rsid w:val="006654FE"/>
    <w:rsid w:val="006711A0"/>
    <w:rsid w:val="00677DC0"/>
    <w:rsid w:val="0068621D"/>
    <w:rsid w:val="006A4A9E"/>
    <w:rsid w:val="006A4B50"/>
    <w:rsid w:val="006A5E59"/>
    <w:rsid w:val="006B4A00"/>
    <w:rsid w:val="006B702D"/>
    <w:rsid w:val="006D2E86"/>
    <w:rsid w:val="006D5E4A"/>
    <w:rsid w:val="006E3400"/>
    <w:rsid w:val="006E636D"/>
    <w:rsid w:val="006F38B1"/>
    <w:rsid w:val="0072313F"/>
    <w:rsid w:val="0072768A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23D3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872E0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64F2E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92C65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77CAE"/>
    <w:rsid w:val="00F85144"/>
    <w:rsid w:val="00FA3444"/>
    <w:rsid w:val="00FB6E37"/>
    <w:rsid w:val="00FC0999"/>
    <w:rsid w:val="00FC57C1"/>
    <w:rsid w:val="00FD4164"/>
    <w:rsid w:val="00FF5FC9"/>
    <w:rsid w:val="1C8D4426"/>
    <w:rsid w:val="1F3A7B4B"/>
    <w:rsid w:val="23F30A91"/>
    <w:rsid w:val="25102021"/>
    <w:rsid w:val="2AEE3492"/>
    <w:rsid w:val="2DA02EE8"/>
    <w:rsid w:val="37DD6C7B"/>
    <w:rsid w:val="45D25817"/>
    <w:rsid w:val="4BB73C10"/>
    <w:rsid w:val="544B6F9E"/>
    <w:rsid w:val="5D964B36"/>
    <w:rsid w:val="5E4B16D0"/>
    <w:rsid w:val="5EC24654"/>
    <w:rsid w:val="64B940F2"/>
    <w:rsid w:val="693141CD"/>
    <w:rsid w:val="70CD5179"/>
    <w:rsid w:val="7285772D"/>
    <w:rsid w:val="775E5B74"/>
    <w:rsid w:val="77C02A00"/>
    <w:rsid w:val="7B1B39CF"/>
    <w:rsid w:val="7E39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B702D"/>
    <w:pPr>
      <w:ind w:firstLineChars="200" w:firstLine="720"/>
    </w:pPr>
    <w:rPr>
      <w:rFonts w:ascii="黑体" w:eastAsia="黑体"/>
      <w:sz w:val="36"/>
      <w:szCs w:val="32"/>
    </w:rPr>
  </w:style>
  <w:style w:type="paragraph" w:styleId="a4">
    <w:name w:val="Balloon Text"/>
    <w:basedOn w:val="a"/>
    <w:link w:val="Char"/>
    <w:rsid w:val="006B702D"/>
    <w:rPr>
      <w:sz w:val="18"/>
      <w:szCs w:val="18"/>
    </w:rPr>
  </w:style>
  <w:style w:type="paragraph" w:styleId="a5">
    <w:name w:val="footer"/>
    <w:basedOn w:val="a"/>
    <w:link w:val="Char0"/>
    <w:qFormat/>
    <w:rsid w:val="006B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6B7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B702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6B7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6B702D"/>
  </w:style>
  <w:style w:type="paragraph" w:customStyle="1" w:styleId="Default">
    <w:name w:val="Default"/>
    <w:qFormat/>
    <w:rsid w:val="006B702D"/>
    <w:pPr>
      <w:widowControl w:val="0"/>
      <w:autoSpaceDE w:val="0"/>
      <w:autoSpaceDN w:val="0"/>
      <w:adjustRightInd w:val="0"/>
    </w:pPr>
    <w:rPr>
      <w:rFonts w:ascii="方正小标宋_GBK" w:eastAsia="微软雅黑" w:hAnsi="方正小标宋_GBK" w:cs="方正小标宋_GBK"/>
      <w:color w:val="000000"/>
      <w:sz w:val="24"/>
      <w:szCs w:val="24"/>
    </w:rPr>
  </w:style>
  <w:style w:type="character" w:customStyle="1" w:styleId="Char1">
    <w:name w:val="页眉 Char"/>
    <w:link w:val="a6"/>
    <w:qFormat/>
    <w:rsid w:val="006B702D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6B702D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6B70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3526</Words>
  <Characters>1249</Characters>
  <Application>Microsoft Office Word</Application>
  <DocSecurity>0</DocSecurity>
  <Lines>10</Lines>
  <Paragraphs>9</Paragraphs>
  <ScaleCrop>false</ScaleCrop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徐州市财政局文件</dc:title>
  <dc:creator>Billgates</dc:creator>
  <cp:lastModifiedBy>aaf</cp:lastModifiedBy>
  <cp:revision>6</cp:revision>
  <cp:lastPrinted>2016-05-26T02:05:00Z</cp:lastPrinted>
  <dcterms:created xsi:type="dcterms:W3CDTF">2019-09-16T03:32:00Z</dcterms:created>
  <dcterms:modified xsi:type="dcterms:W3CDTF">2020-08-10T02:26:00Z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