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389" w:rsidRPr="00BD2C05" w:rsidRDefault="00C83389" w:rsidP="00C83389">
      <w:pPr>
        <w:jc w:val="left"/>
        <w:rPr>
          <w:rFonts w:ascii="方正黑体_GBK" w:eastAsia="方正黑体_GBK" w:hAnsi="宋体"/>
          <w:sz w:val="32"/>
          <w:szCs w:val="32"/>
        </w:rPr>
      </w:pPr>
    </w:p>
    <w:p w:rsidR="00C83389" w:rsidRPr="00BD2C05" w:rsidRDefault="00C83389" w:rsidP="00C83389">
      <w:pPr>
        <w:rPr>
          <w:rFonts w:ascii="方正黑体_GBK" w:eastAsia="方正黑体_GBK" w:hAnsi="宋体"/>
          <w:sz w:val="32"/>
          <w:szCs w:val="32"/>
        </w:rPr>
      </w:pPr>
    </w:p>
    <w:p w:rsidR="00C83389" w:rsidRPr="00BD2C05" w:rsidRDefault="00C83389" w:rsidP="00C83389">
      <w:pPr>
        <w:jc w:val="center"/>
        <w:rPr>
          <w:rFonts w:ascii="楷体_GB2312" w:eastAsia="楷体_GB2312" w:hAnsi="宋体"/>
          <w:sz w:val="32"/>
          <w:szCs w:val="32"/>
        </w:rPr>
      </w:pPr>
    </w:p>
    <w:p w:rsidR="00C83389" w:rsidRPr="00BD2C05" w:rsidRDefault="00C83389" w:rsidP="00C83389">
      <w:pPr>
        <w:jc w:val="center"/>
        <w:rPr>
          <w:rFonts w:ascii="楷体_GB2312" w:eastAsia="楷体_GB2312" w:hAnsi="宋体"/>
          <w:sz w:val="32"/>
          <w:szCs w:val="32"/>
        </w:rPr>
      </w:pPr>
    </w:p>
    <w:p w:rsidR="00C83389" w:rsidRPr="00BD2C05" w:rsidRDefault="00C83389" w:rsidP="00C83389">
      <w:pPr>
        <w:jc w:val="center"/>
        <w:rPr>
          <w:rFonts w:ascii="楷体_GB2312" w:eastAsia="楷体_GB2312" w:hAnsi="宋体"/>
          <w:sz w:val="32"/>
          <w:szCs w:val="32"/>
        </w:rPr>
      </w:pPr>
    </w:p>
    <w:p w:rsidR="00C83389" w:rsidRPr="00BD2C05" w:rsidRDefault="00C83389" w:rsidP="00C83389">
      <w:pPr>
        <w:spacing w:line="520" w:lineRule="exact"/>
        <w:jc w:val="center"/>
        <w:rPr>
          <w:rFonts w:ascii="楷体_GB2312" w:eastAsia="楷体_GB2312" w:hAnsi="宋体"/>
          <w:sz w:val="32"/>
          <w:szCs w:val="32"/>
        </w:rPr>
      </w:pPr>
    </w:p>
    <w:p w:rsidR="00C83389" w:rsidRPr="00BD2C05" w:rsidRDefault="00C83389" w:rsidP="00C83389">
      <w:pPr>
        <w:spacing w:line="520" w:lineRule="exact"/>
        <w:jc w:val="center"/>
        <w:rPr>
          <w:rFonts w:ascii="楷体_GB2312" w:eastAsia="楷体_GB2312" w:hAnsi="宋体"/>
          <w:sz w:val="32"/>
          <w:szCs w:val="32"/>
        </w:rPr>
      </w:pPr>
    </w:p>
    <w:p w:rsidR="00C83389" w:rsidRPr="00BD2C05" w:rsidRDefault="00C83389" w:rsidP="00C83389">
      <w:pPr>
        <w:jc w:val="center"/>
        <w:rPr>
          <w:rFonts w:ascii="Times New Roman" w:eastAsia="方正楷体_GBK" w:hAnsi="Times New Roman" w:cs="Times New Roman"/>
          <w:sz w:val="32"/>
          <w:szCs w:val="32"/>
        </w:rPr>
      </w:pPr>
      <w:r w:rsidRPr="00BD2C05">
        <w:rPr>
          <w:rFonts w:ascii="Times New Roman" w:eastAsia="方正楷体_GBK" w:hAnsi="Times New Roman" w:cs="Times New Roman"/>
          <w:sz w:val="32"/>
          <w:szCs w:val="32"/>
        </w:rPr>
        <w:t>连建招办〔</w:t>
      </w:r>
      <w:r w:rsidRPr="00BD2C05">
        <w:rPr>
          <w:rFonts w:ascii="Times New Roman" w:eastAsia="方正楷体_GBK" w:hAnsi="Times New Roman" w:cs="Times New Roman"/>
          <w:sz w:val="32"/>
          <w:szCs w:val="32"/>
        </w:rPr>
        <w:t>202</w:t>
      </w:r>
      <w:r w:rsidRPr="00BD2C05">
        <w:rPr>
          <w:rFonts w:ascii="Times New Roman" w:eastAsia="方正楷体_GBK" w:hAnsi="Times New Roman" w:cs="Times New Roman" w:hint="eastAsia"/>
          <w:sz w:val="32"/>
          <w:szCs w:val="32"/>
        </w:rPr>
        <w:t>4</w:t>
      </w:r>
      <w:r w:rsidRPr="00BD2C05">
        <w:rPr>
          <w:rFonts w:ascii="Times New Roman" w:eastAsia="方正楷体_GBK" w:hAnsi="Times New Roman" w:cs="Times New Roman"/>
          <w:sz w:val="32"/>
          <w:szCs w:val="32"/>
        </w:rPr>
        <w:t>〕</w:t>
      </w:r>
      <w:r w:rsidR="00AB3891">
        <w:rPr>
          <w:rFonts w:ascii="Times New Roman" w:eastAsia="方正楷体_GBK" w:hAnsi="Times New Roman" w:cs="Times New Roman" w:hint="eastAsia"/>
          <w:sz w:val="32"/>
          <w:szCs w:val="32"/>
        </w:rPr>
        <w:t>5</w:t>
      </w:r>
      <w:r w:rsidRPr="00BD2C05">
        <w:rPr>
          <w:rFonts w:ascii="Times New Roman" w:eastAsia="方正楷体_GBK" w:hAnsi="Times New Roman" w:cs="Times New Roman"/>
          <w:sz w:val="32"/>
          <w:szCs w:val="32"/>
        </w:rPr>
        <w:t>号</w:t>
      </w:r>
    </w:p>
    <w:p w:rsidR="00C83389" w:rsidRPr="00BD2C05" w:rsidRDefault="00C83389" w:rsidP="00C83389">
      <w:pPr>
        <w:spacing w:line="360" w:lineRule="exact"/>
        <w:jc w:val="center"/>
        <w:rPr>
          <w:rFonts w:eastAsia="方正小标宋_GBK"/>
          <w:sz w:val="44"/>
          <w:szCs w:val="44"/>
        </w:rPr>
      </w:pPr>
    </w:p>
    <w:p w:rsidR="00C83389" w:rsidRPr="00BD2C05" w:rsidRDefault="00C83389" w:rsidP="00C83389">
      <w:pPr>
        <w:spacing w:line="360" w:lineRule="exact"/>
        <w:jc w:val="center"/>
        <w:rPr>
          <w:rFonts w:eastAsia="方正小标宋_GBK"/>
          <w:sz w:val="44"/>
          <w:szCs w:val="44"/>
        </w:rPr>
      </w:pPr>
    </w:p>
    <w:p w:rsidR="007279A7" w:rsidRPr="00AB3891" w:rsidRDefault="00C049CE" w:rsidP="00BD2C05">
      <w:pPr>
        <w:spacing w:line="640" w:lineRule="exact"/>
        <w:jc w:val="center"/>
        <w:rPr>
          <w:rFonts w:ascii="方正小标宋_GBK" w:eastAsia="方正小标宋_GBK" w:hAnsi="方正小标宋简体" w:cs="方正小标宋简体"/>
          <w:kern w:val="0"/>
          <w:sz w:val="44"/>
          <w:szCs w:val="44"/>
          <w:shd w:val="clear" w:color="auto" w:fill="FFFFFF"/>
        </w:rPr>
      </w:pPr>
      <w:r w:rsidRPr="00AB3891">
        <w:rPr>
          <w:rFonts w:ascii="方正小标宋_GBK" w:eastAsia="方正小标宋_GBK" w:hAnsi="方正小标宋简体" w:cs="方正小标宋简体" w:hint="eastAsia"/>
          <w:kern w:val="0"/>
          <w:sz w:val="44"/>
          <w:szCs w:val="44"/>
          <w:shd w:val="clear" w:color="auto" w:fill="FFFFFF"/>
        </w:rPr>
        <w:t>连云港市建设工程招标投标管理办公室</w:t>
      </w:r>
    </w:p>
    <w:p w:rsidR="00AB3891" w:rsidRPr="00AB3891" w:rsidRDefault="00AB3891" w:rsidP="00AB3891">
      <w:pPr>
        <w:spacing w:line="560" w:lineRule="exact"/>
        <w:jc w:val="center"/>
        <w:rPr>
          <w:rFonts w:ascii="方正小标宋_GBK" w:eastAsia="方正小标宋_GBK" w:hAnsi="方正小标宋_GBK" w:cs="方正小标宋_GBK"/>
          <w:sz w:val="44"/>
          <w:szCs w:val="44"/>
        </w:rPr>
      </w:pPr>
      <w:r w:rsidRPr="00AB3891">
        <w:rPr>
          <w:rFonts w:ascii="方正小标宋_GBK" w:eastAsia="方正小标宋_GBK" w:hAnsi="方正小标宋_GBK" w:cs="方正小标宋_GBK" w:hint="eastAsia"/>
          <w:sz w:val="44"/>
          <w:szCs w:val="44"/>
        </w:rPr>
        <w:t>关于公布</w:t>
      </w:r>
      <w:proofErr w:type="gramStart"/>
      <w:r w:rsidRPr="00AB3891">
        <w:rPr>
          <w:rFonts w:ascii="方正小标宋_GBK" w:eastAsia="方正小标宋_GBK" w:hAnsi="方正小标宋_GBK" w:cs="方正小标宋_GBK" w:hint="eastAsia"/>
          <w:sz w:val="44"/>
          <w:szCs w:val="44"/>
        </w:rPr>
        <w:t>《</w:t>
      </w:r>
      <w:proofErr w:type="gramEnd"/>
      <w:r w:rsidRPr="00AB3891">
        <w:rPr>
          <w:rFonts w:ascii="方正小标宋_GBK" w:eastAsia="方正小标宋_GBK" w:hAnsi="方正小标宋_GBK" w:cs="方正小标宋_GBK" w:hint="eastAsia"/>
          <w:sz w:val="44"/>
          <w:szCs w:val="44"/>
        </w:rPr>
        <w:t>连云港市建设工程项目招标代理</w:t>
      </w:r>
    </w:p>
    <w:p w:rsidR="00AB3891" w:rsidRPr="00AB3891" w:rsidRDefault="00AB3891" w:rsidP="00AB3891">
      <w:pPr>
        <w:spacing w:line="560" w:lineRule="exact"/>
        <w:jc w:val="center"/>
        <w:rPr>
          <w:rFonts w:ascii="方正小标宋_GBK" w:eastAsia="方正小标宋_GBK" w:hAnsi="方正小标宋_GBK" w:cs="方正小标宋_GBK"/>
          <w:sz w:val="44"/>
          <w:szCs w:val="44"/>
        </w:rPr>
      </w:pPr>
      <w:r w:rsidRPr="00AB3891">
        <w:rPr>
          <w:rFonts w:ascii="方正小标宋_GBK" w:eastAsia="方正小标宋_GBK" w:hAnsi="方正小标宋_GBK" w:cs="方正小标宋_GBK" w:hint="eastAsia"/>
          <w:sz w:val="44"/>
          <w:szCs w:val="44"/>
        </w:rPr>
        <w:t>综合考评实施方案（2024年度）</w:t>
      </w:r>
      <w:proofErr w:type="gramStart"/>
      <w:r w:rsidRPr="00AB3891">
        <w:rPr>
          <w:rFonts w:ascii="方正小标宋_GBK" w:eastAsia="方正小标宋_GBK" w:hAnsi="方正小标宋_GBK" w:cs="方正小标宋_GBK" w:hint="eastAsia"/>
          <w:sz w:val="44"/>
          <w:szCs w:val="44"/>
        </w:rPr>
        <w:t>》</w:t>
      </w:r>
      <w:proofErr w:type="gramEnd"/>
      <w:r w:rsidRPr="00AB3891">
        <w:rPr>
          <w:rFonts w:ascii="方正小标宋_GBK" w:eastAsia="方正小标宋_GBK" w:hAnsi="方正小标宋_GBK" w:cs="方正小标宋_GBK" w:hint="eastAsia"/>
          <w:sz w:val="44"/>
          <w:szCs w:val="44"/>
        </w:rPr>
        <w:t>的通知</w:t>
      </w:r>
    </w:p>
    <w:p w:rsidR="00AB3891" w:rsidRPr="00AB3891" w:rsidRDefault="00AB3891" w:rsidP="00AB3891">
      <w:pPr>
        <w:spacing w:line="560" w:lineRule="exact"/>
        <w:jc w:val="center"/>
        <w:rPr>
          <w:rFonts w:ascii="仿宋_GB2312" w:eastAsia="仿宋_GB2312" w:hAnsi="仿宋_GB2312" w:cs="仿宋_GB2312"/>
          <w:sz w:val="32"/>
          <w:szCs w:val="32"/>
        </w:rPr>
      </w:pPr>
    </w:p>
    <w:p w:rsidR="00AB3891" w:rsidRPr="00AB3891" w:rsidRDefault="00AB3891" w:rsidP="00AB3891">
      <w:pPr>
        <w:snapToGrid w:val="0"/>
        <w:spacing w:line="520" w:lineRule="exact"/>
        <w:rPr>
          <w:rFonts w:ascii="仿宋" w:eastAsia="仿宋" w:hAnsi="仿宋" w:cs="仿宋"/>
          <w:sz w:val="32"/>
          <w:szCs w:val="32"/>
        </w:rPr>
      </w:pPr>
      <w:r w:rsidRPr="00AB3891">
        <w:rPr>
          <w:rFonts w:ascii="仿宋" w:eastAsia="仿宋" w:hAnsi="仿宋" w:cs="仿宋" w:hint="eastAsia"/>
          <w:sz w:val="32"/>
          <w:szCs w:val="32"/>
        </w:rPr>
        <w:t>各县区、功能板块建设工程招投标监管部门，各招标代理企业，各有关单位：</w:t>
      </w:r>
    </w:p>
    <w:p w:rsidR="00AB3891" w:rsidRPr="00AB3891" w:rsidRDefault="00AB3891" w:rsidP="00AB3891">
      <w:pPr>
        <w:spacing w:line="560" w:lineRule="exact"/>
        <w:ind w:firstLineChars="200" w:firstLine="640"/>
        <w:rPr>
          <w:rFonts w:ascii="仿宋" w:eastAsia="仿宋" w:hAnsi="仿宋" w:cs="仿宋"/>
          <w:sz w:val="32"/>
          <w:szCs w:val="32"/>
        </w:rPr>
      </w:pPr>
      <w:r w:rsidRPr="00AB3891">
        <w:rPr>
          <w:rFonts w:ascii="仿宋" w:eastAsia="仿宋" w:hAnsi="仿宋" w:cs="仿宋" w:hint="eastAsia"/>
          <w:sz w:val="32"/>
          <w:szCs w:val="32"/>
        </w:rPr>
        <w:t>为进一步加强事中事后监管，不断规范我市招标代理机构从业行为，促进行业健康有序发展，努力营造公平公正、公开透明和诚实信用的招投标市场环境，根据上级加强招投标行业监管的工作部署，结合我市招投标行业的实际情况，经广泛征求意见和多轮讨论研究，市建设工程招标办对《连云港市建设工程项目招标代理综合考评实施方案（2023年度）》的部分内容进行了优化完善，形成了《连云港市建设工程项目招标代理综合考评实施方案（2024年度）》，现予以公布，请各县区监管</w:t>
      </w:r>
      <w:r w:rsidRPr="00AB3891">
        <w:rPr>
          <w:rFonts w:ascii="仿宋" w:eastAsia="仿宋" w:hAnsi="仿宋" w:cs="仿宋" w:hint="eastAsia"/>
          <w:sz w:val="32"/>
          <w:szCs w:val="32"/>
        </w:rPr>
        <w:lastRenderedPageBreak/>
        <w:t>部门、各相关单位和各招标代理机构认真学习领会，强化服务指导，规范执业行为，并根据本方案积极做好2024年度综合考评相关准备工作。如有其他合理性建议，请于2024年6月30日前书面（加盖公章）反馈至市建设工程招标投标管理办公室。</w:t>
      </w:r>
    </w:p>
    <w:p w:rsidR="00AB3891" w:rsidRPr="00AB3891" w:rsidRDefault="00AB3891" w:rsidP="00AB3891">
      <w:pPr>
        <w:spacing w:line="560" w:lineRule="exact"/>
        <w:ind w:firstLineChars="200" w:firstLine="640"/>
        <w:rPr>
          <w:rFonts w:ascii="仿宋" w:eastAsia="仿宋" w:hAnsi="仿宋" w:cs="仿宋"/>
          <w:sz w:val="32"/>
          <w:szCs w:val="32"/>
        </w:rPr>
      </w:pPr>
      <w:r w:rsidRPr="00AB3891">
        <w:rPr>
          <w:rFonts w:ascii="仿宋" w:eastAsia="仿宋" w:hAnsi="仿宋" w:cs="仿宋" w:hint="eastAsia"/>
          <w:sz w:val="32"/>
          <w:szCs w:val="32"/>
        </w:rPr>
        <w:t>特此通知</w:t>
      </w:r>
    </w:p>
    <w:p w:rsidR="00AB3891" w:rsidRDefault="00AB3891" w:rsidP="00AB3891">
      <w:pPr>
        <w:spacing w:line="560" w:lineRule="exact"/>
        <w:rPr>
          <w:rFonts w:ascii="仿宋" w:eastAsia="仿宋" w:hAnsi="仿宋" w:cs="仿宋"/>
          <w:sz w:val="32"/>
          <w:szCs w:val="32"/>
        </w:rPr>
      </w:pPr>
    </w:p>
    <w:p w:rsidR="00AB3891" w:rsidRDefault="00AB3891" w:rsidP="00AB389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联系人：郭科长；  联系电话：85809838</w:t>
      </w:r>
    </w:p>
    <w:p w:rsidR="00AB3891" w:rsidRDefault="00AB3891" w:rsidP="00AB3891">
      <w:pPr>
        <w:spacing w:line="560" w:lineRule="exact"/>
        <w:ind w:firstLineChars="200" w:firstLine="640"/>
        <w:rPr>
          <w:rFonts w:ascii="仿宋" w:eastAsia="仿宋" w:hAnsi="仿宋" w:cs="仿宋"/>
          <w:sz w:val="32"/>
          <w:szCs w:val="32"/>
        </w:rPr>
      </w:pPr>
    </w:p>
    <w:p w:rsidR="00AB3891" w:rsidRDefault="00AB3891" w:rsidP="00AB3891">
      <w:pPr>
        <w:spacing w:line="560" w:lineRule="exact"/>
        <w:ind w:leftChars="302" w:left="1940" w:hangingChars="408" w:hanging="1306"/>
        <w:rPr>
          <w:rFonts w:ascii="仿宋" w:eastAsia="仿宋" w:hAnsi="仿宋" w:cs="仿宋"/>
          <w:sz w:val="32"/>
          <w:szCs w:val="32"/>
        </w:rPr>
      </w:pPr>
      <w:r>
        <w:rPr>
          <w:rFonts w:ascii="仿宋" w:eastAsia="仿宋" w:hAnsi="仿宋" w:cs="仿宋" w:hint="eastAsia"/>
          <w:sz w:val="32"/>
          <w:szCs w:val="32"/>
        </w:rPr>
        <w:t>附件：1.《连云港市建设工程项目招标代理综合考评实施方案（2024年度）》部分主要修订内容</w:t>
      </w:r>
    </w:p>
    <w:p w:rsidR="00AB3891" w:rsidRDefault="00AB3891" w:rsidP="00AB3891">
      <w:pPr>
        <w:spacing w:line="560" w:lineRule="exact"/>
        <w:ind w:leftChars="766" w:left="1929" w:hangingChars="100" w:hanging="320"/>
        <w:rPr>
          <w:rFonts w:ascii="仿宋" w:eastAsia="仿宋" w:hAnsi="仿宋" w:cs="仿宋"/>
          <w:sz w:val="32"/>
          <w:szCs w:val="32"/>
        </w:rPr>
      </w:pPr>
      <w:r>
        <w:rPr>
          <w:rFonts w:ascii="仿宋" w:eastAsia="仿宋" w:hAnsi="仿宋" w:cs="仿宋" w:hint="eastAsia"/>
          <w:sz w:val="32"/>
          <w:szCs w:val="32"/>
        </w:rPr>
        <w:t>2.连云港市建设工程项目招标代理综合考评实施方案（2024年度）</w:t>
      </w:r>
    </w:p>
    <w:p w:rsidR="00BD2C05" w:rsidRPr="00AB3891" w:rsidRDefault="00BD2C05" w:rsidP="00BD2C05">
      <w:pPr>
        <w:widowControl/>
        <w:ind w:firstLineChars="700" w:firstLine="2240"/>
        <w:rPr>
          <w:rFonts w:ascii="Times New Roman" w:eastAsia="仿宋_GB2312" w:hAnsi="Times New Roman"/>
          <w:sz w:val="32"/>
          <w:szCs w:val="32"/>
        </w:rPr>
      </w:pPr>
    </w:p>
    <w:p w:rsidR="00BD2C05" w:rsidRPr="00BD2C05" w:rsidRDefault="00BD2C05" w:rsidP="00BD2C05">
      <w:pPr>
        <w:widowControl/>
        <w:ind w:firstLineChars="800" w:firstLine="2560"/>
        <w:jc w:val="right"/>
        <w:rPr>
          <w:rFonts w:ascii="Times New Roman" w:eastAsia="仿宋_GB2312" w:hAnsi="Times New Roman"/>
          <w:sz w:val="32"/>
          <w:szCs w:val="32"/>
        </w:rPr>
      </w:pPr>
      <w:r w:rsidRPr="00BD2C05">
        <w:rPr>
          <w:rFonts w:ascii="Times New Roman" w:eastAsia="仿宋_GB2312" w:hAnsi="Times New Roman"/>
          <w:sz w:val="32"/>
          <w:szCs w:val="32"/>
        </w:rPr>
        <w:t>连云港市</w:t>
      </w:r>
      <w:r w:rsidRPr="00BD2C05">
        <w:rPr>
          <w:rFonts w:ascii="Times New Roman" w:eastAsia="仿宋_GB2312" w:hAnsi="Times New Roman" w:hint="eastAsia"/>
          <w:sz w:val="32"/>
          <w:szCs w:val="32"/>
        </w:rPr>
        <w:t>建设工程招标投标管理办公室</w:t>
      </w:r>
    </w:p>
    <w:p w:rsidR="00BD2C05" w:rsidRPr="00BD2C05" w:rsidRDefault="00BD2C05" w:rsidP="00BD2C05">
      <w:pPr>
        <w:wordWrap w:val="0"/>
        <w:jc w:val="right"/>
        <w:rPr>
          <w:rFonts w:ascii="Times New Roman" w:eastAsia="仿宋_GB2312" w:hAnsi="Times New Roman"/>
          <w:sz w:val="32"/>
          <w:szCs w:val="32"/>
        </w:rPr>
      </w:pPr>
      <w:r w:rsidRPr="00BD2C05">
        <w:rPr>
          <w:rFonts w:ascii="Times New Roman" w:eastAsia="仿宋_GB2312" w:hAnsi="Times New Roman"/>
          <w:sz w:val="32"/>
          <w:szCs w:val="32"/>
        </w:rPr>
        <w:t xml:space="preserve">                    </w:t>
      </w:r>
      <w:r w:rsidRPr="00BD2C05">
        <w:rPr>
          <w:rFonts w:ascii="Times New Roman" w:eastAsia="仿宋_GB2312" w:hAnsi="Times New Roman" w:hint="eastAsia"/>
          <w:sz w:val="32"/>
          <w:szCs w:val="32"/>
        </w:rPr>
        <w:t xml:space="preserve">       </w:t>
      </w:r>
      <w:r w:rsidRPr="00BD2C05">
        <w:rPr>
          <w:rFonts w:ascii="Times New Roman" w:eastAsia="仿宋_GB2312" w:hAnsi="Times New Roman"/>
          <w:sz w:val="32"/>
          <w:szCs w:val="32"/>
        </w:rPr>
        <w:t>20</w:t>
      </w:r>
      <w:r w:rsidRPr="00BD2C05">
        <w:rPr>
          <w:rFonts w:ascii="Times New Roman" w:eastAsia="仿宋_GB2312" w:hAnsi="Times New Roman" w:hint="eastAsia"/>
          <w:sz w:val="32"/>
          <w:szCs w:val="32"/>
        </w:rPr>
        <w:t>24</w:t>
      </w:r>
      <w:r w:rsidRPr="00BD2C05">
        <w:rPr>
          <w:rFonts w:ascii="Times New Roman" w:eastAsia="仿宋_GB2312" w:hAnsi="Times New Roman"/>
          <w:sz w:val="32"/>
          <w:szCs w:val="32"/>
        </w:rPr>
        <w:t>年</w:t>
      </w:r>
      <w:r w:rsidRPr="00BD2C05">
        <w:rPr>
          <w:rFonts w:ascii="Times New Roman" w:eastAsia="仿宋_GB2312" w:hAnsi="Times New Roman" w:hint="eastAsia"/>
          <w:sz w:val="32"/>
          <w:szCs w:val="32"/>
        </w:rPr>
        <w:t>5</w:t>
      </w:r>
      <w:r w:rsidRPr="00BD2C05">
        <w:rPr>
          <w:rFonts w:ascii="Times New Roman" w:eastAsia="仿宋_GB2312" w:hAnsi="Times New Roman"/>
          <w:sz w:val="32"/>
          <w:szCs w:val="32"/>
        </w:rPr>
        <w:t>月</w:t>
      </w:r>
      <w:r w:rsidR="00AB3891">
        <w:rPr>
          <w:rFonts w:ascii="Times New Roman" w:eastAsia="仿宋_GB2312" w:hAnsi="Times New Roman" w:hint="eastAsia"/>
          <w:sz w:val="32"/>
          <w:szCs w:val="32"/>
        </w:rPr>
        <w:t>21</w:t>
      </w:r>
      <w:r w:rsidRPr="00BD2C05">
        <w:rPr>
          <w:rFonts w:ascii="Times New Roman" w:eastAsia="仿宋_GB2312" w:hAnsi="Times New Roman"/>
          <w:sz w:val="32"/>
          <w:szCs w:val="32"/>
        </w:rPr>
        <w:t>日</w:t>
      </w:r>
      <w:r>
        <w:rPr>
          <w:rFonts w:ascii="Times New Roman" w:eastAsia="仿宋_GB2312" w:hAnsi="Times New Roman" w:hint="eastAsia"/>
          <w:sz w:val="32"/>
          <w:szCs w:val="32"/>
        </w:rPr>
        <w:t xml:space="preserve">        </w:t>
      </w:r>
    </w:p>
    <w:p w:rsidR="00BD2C05" w:rsidRPr="00BD2C05" w:rsidRDefault="00BD2C05" w:rsidP="00BD2C05">
      <w:pPr>
        <w:spacing w:line="560" w:lineRule="exact"/>
        <w:ind w:right="225"/>
        <w:rPr>
          <w:rFonts w:ascii="Times New Roman" w:eastAsia="黑体" w:hAnsi="黑体"/>
          <w:sz w:val="32"/>
          <w:szCs w:val="32"/>
        </w:rPr>
      </w:pPr>
    </w:p>
    <w:p w:rsidR="00BD2C05" w:rsidRDefault="00BD2C05">
      <w:pPr>
        <w:widowControl/>
        <w:jc w:val="left"/>
        <w:rPr>
          <w:rFonts w:ascii="Times New Roman" w:eastAsia="黑体" w:hAnsi="黑体"/>
          <w:sz w:val="32"/>
          <w:szCs w:val="32"/>
        </w:rPr>
      </w:pPr>
      <w:r>
        <w:rPr>
          <w:rFonts w:ascii="Times New Roman" w:eastAsia="黑体" w:hAnsi="黑体"/>
          <w:sz w:val="32"/>
          <w:szCs w:val="32"/>
        </w:rPr>
        <w:br w:type="page"/>
      </w:r>
    </w:p>
    <w:p w:rsidR="00AB3891" w:rsidRDefault="00AB3891" w:rsidP="00AB3891">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附件1</w:t>
      </w:r>
    </w:p>
    <w:p w:rsidR="00AB3891" w:rsidRDefault="00AB3891" w:rsidP="00AB3891">
      <w:pPr>
        <w:spacing w:line="560" w:lineRule="exact"/>
        <w:rPr>
          <w:rFonts w:ascii="仿宋" w:eastAsia="仿宋" w:hAnsi="仿宋" w:cs="仿宋"/>
          <w:sz w:val="32"/>
          <w:szCs w:val="32"/>
        </w:rPr>
      </w:pPr>
    </w:p>
    <w:p w:rsidR="00AB3891" w:rsidRDefault="00AB3891" w:rsidP="00AB3891">
      <w:pPr>
        <w:spacing w:line="560" w:lineRule="exact"/>
        <w:jc w:val="center"/>
        <w:rPr>
          <w:rFonts w:ascii="方正小标宋_GBK" w:eastAsia="方正小标宋_GBK" w:hAnsi="方正小标宋_GBK" w:cs="方正小标宋_GBK"/>
          <w:sz w:val="44"/>
          <w:szCs w:val="44"/>
        </w:rPr>
      </w:pPr>
      <w:proofErr w:type="gramStart"/>
      <w:r>
        <w:rPr>
          <w:rFonts w:ascii="方正小标宋_GBK" w:eastAsia="方正小标宋_GBK" w:hAnsi="方正小标宋_GBK" w:cs="方正小标宋_GBK" w:hint="eastAsia"/>
          <w:sz w:val="44"/>
          <w:szCs w:val="44"/>
        </w:rPr>
        <w:t>《</w:t>
      </w:r>
      <w:proofErr w:type="gramEnd"/>
      <w:r>
        <w:rPr>
          <w:rFonts w:ascii="方正小标宋_GBK" w:eastAsia="方正小标宋_GBK" w:hAnsi="方正小标宋_GBK" w:cs="方正小标宋_GBK" w:hint="eastAsia"/>
          <w:sz w:val="44"/>
          <w:szCs w:val="44"/>
        </w:rPr>
        <w:t>连云港市建设工程项目招标代理</w:t>
      </w:r>
    </w:p>
    <w:p w:rsidR="00AB3891" w:rsidRDefault="00AB3891" w:rsidP="00AB3891">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综合考评实施方案（2024年度）</w:t>
      </w:r>
      <w:proofErr w:type="gramStart"/>
      <w:r>
        <w:rPr>
          <w:rFonts w:ascii="方正小标宋_GBK" w:eastAsia="方正小标宋_GBK" w:hAnsi="方正小标宋_GBK" w:cs="方正小标宋_GBK" w:hint="eastAsia"/>
          <w:sz w:val="44"/>
          <w:szCs w:val="44"/>
        </w:rPr>
        <w:t>》</w:t>
      </w:r>
      <w:proofErr w:type="gramEnd"/>
      <w:r>
        <w:rPr>
          <w:rFonts w:ascii="方正小标宋_GBK" w:eastAsia="方正小标宋_GBK" w:hAnsi="方正小标宋_GBK" w:cs="方正小标宋_GBK" w:hint="eastAsia"/>
          <w:sz w:val="44"/>
          <w:szCs w:val="44"/>
        </w:rPr>
        <w:t>部分</w:t>
      </w:r>
    </w:p>
    <w:p w:rsidR="00AB3891" w:rsidRDefault="00AB3891" w:rsidP="00AB3891">
      <w:pPr>
        <w:spacing w:line="560" w:lineRule="exact"/>
        <w:jc w:val="center"/>
        <w:rPr>
          <w:rFonts w:ascii="仿宋_GB2312" w:eastAsia="仿宋_GB2312" w:hAnsi="仿宋_GB2312" w:cs="仿宋_GB2312"/>
          <w:sz w:val="32"/>
          <w:szCs w:val="32"/>
        </w:rPr>
      </w:pPr>
      <w:r>
        <w:rPr>
          <w:rFonts w:ascii="方正小标宋_GBK" w:eastAsia="方正小标宋_GBK" w:hAnsi="方正小标宋_GBK" w:cs="方正小标宋_GBK" w:hint="eastAsia"/>
          <w:sz w:val="44"/>
          <w:szCs w:val="44"/>
        </w:rPr>
        <w:t>主要修订内容</w:t>
      </w:r>
    </w:p>
    <w:p w:rsidR="00AB3891" w:rsidRDefault="00AB3891" w:rsidP="00AB3891">
      <w:pPr>
        <w:spacing w:line="560" w:lineRule="exact"/>
        <w:ind w:firstLineChars="200" w:firstLine="640"/>
        <w:rPr>
          <w:rFonts w:ascii="仿宋" w:eastAsia="仿宋" w:hAnsi="仿宋" w:cs="仿宋"/>
          <w:sz w:val="32"/>
          <w:szCs w:val="32"/>
        </w:rPr>
      </w:pPr>
    </w:p>
    <w:p w:rsidR="00AB3891" w:rsidRDefault="00AB3891" w:rsidP="00AB389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为方便大家学习领会《连云港市建设工程项目招标代理综合考评实施方案（2024年度）》，市建设工程招标办将优化完善的内容进行了梳理，本次主要修订内容如下：</w:t>
      </w:r>
    </w:p>
    <w:p w:rsidR="00AB3891" w:rsidRDefault="00AB3891" w:rsidP="00AB389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1.考评方案附件2《实际经营行为考评计分细则》第二章增加以下内容：“第七条 为深入贯彻落实上级党委政府和纪检监察系统关于工程招投标领域专项整治的工作部署和指示精神，进一步规范限额以下建设工程招投标活动，堵塞利益输送的漏洞，防范廉政风险，防止国有财产流失，鉴于我市招投标协会、各县区监管部门或有关部门已建立限额以下交易平台，为鼓励广大招标人和招标代理机构规范组织限额以下招投标活动，对于在市招投标协会和各县区监管部门或有关部门开发提供的交易平台规范履行招标程序的建设工程项目，每一个项目分别加0.3和0.2分，相关计分规则和认定方法参照限额以上项目，此项最高加10分。”同时，修改第六条部分内容：“根据国家发改委关于依法必须公开招标项目的有关规定，不鼓励限额以下项目进入7.0系统交易，确有特殊情况的，经招标人</w:t>
      </w:r>
      <w:r>
        <w:rPr>
          <w:rFonts w:ascii="仿宋" w:eastAsia="仿宋" w:hAnsi="仿宋" w:cs="仿宋" w:hint="eastAsia"/>
          <w:sz w:val="32"/>
          <w:szCs w:val="32"/>
        </w:rPr>
        <w:lastRenderedPageBreak/>
        <w:t>书面申请且经监管部门同意，方可进入7.0系统交易，同时该项目须有单独立项方可计分，且一个立项批文只计一次分，每个限额以下进入7.0系统交易的项目，不论金额规模和类别，固定分值为0.3分。”</w:t>
      </w:r>
    </w:p>
    <w:p w:rsidR="00AB3891" w:rsidRDefault="00AB3891" w:rsidP="00AB389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2.考评方案附件2《实际经营行为考评计分细则》第八条修改为：“考评对象的工作人员参加我省、我市建设工程招投标监管部门或我省建设监理与招投标协会、我市招标投标协会组织的业务培训的，线下每人次加0.3分，线上每人次加0.1分，最高加3分。” </w:t>
      </w:r>
    </w:p>
    <w:p w:rsidR="00AB3891" w:rsidRDefault="00AB3891" w:rsidP="00AB389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3.考评方案附件2《实际经营行为考评计分细则》第十条修改为：“考评对象担任我省、我市行业协会或监管部门组织的业务培训主讲、参与我省、我市行业主管部门组织的监督检查（包括但不限于双随机</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公开、合</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指导、专项整治等）活动的，县区级每人次加0.5分，市级每人次加1分，省级及以上每人次加1.5分，最高加3分。”</w:t>
      </w:r>
    </w:p>
    <w:p w:rsidR="00AB3891" w:rsidRDefault="00AB3891" w:rsidP="00AB389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考评方案附件2《实际经营行为考评计分细则》第十三条修改为：“考评对象不得低于成本承接进场交易建设工程招标代理业务。承接价格低于《江苏省招标代理服务收费指导意见》（苏招协〔2022〕002号）所定标准30%的，须提供该标段代理费用不低于成本的合理性书面说明，不提供书面说明或无法说明合理性的，视为低于成本价恶性竞争，扰乱市场秩序，每个标段根据情节严重程度酌情减0.5-1.5分；实行零元报价</w:t>
      </w:r>
      <w:r>
        <w:rPr>
          <w:rFonts w:ascii="仿宋" w:eastAsia="仿宋" w:hAnsi="仿宋" w:cs="仿宋" w:hint="eastAsia"/>
          <w:sz w:val="32"/>
          <w:szCs w:val="32"/>
        </w:rPr>
        <w:lastRenderedPageBreak/>
        <w:t>恶性竞争获取代理项目的，每个标段减2分。”</w:t>
      </w:r>
    </w:p>
    <w:p w:rsidR="00AB3891" w:rsidRDefault="00AB3891" w:rsidP="00AB389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5.考评方案附件3《其他综合表现情况计分细则》第一条修改为：</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考评对象积极</w:t>
      </w:r>
      <w:r>
        <w:rPr>
          <w:rFonts w:ascii="仿宋" w:eastAsia="仿宋" w:hAnsi="仿宋" w:cs="仿宋" w:hint="eastAsia"/>
          <w:kern w:val="0"/>
          <w:sz w:val="32"/>
          <w:szCs w:val="32"/>
        </w:rPr>
        <w:t>参与省招标代理信用评价，获评“AAA”等级的加2分，“AA”等级的加1.5分，“A”等级的加1分。</w:t>
      </w:r>
      <w:r>
        <w:rPr>
          <w:rFonts w:ascii="仿宋" w:eastAsia="仿宋" w:hAnsi="仿宋" w:cs="仿宋" w:hint="eastAsia"/>
          <w:sz w:val="32"/>
          <w:szCs w:val="32"/>
        </w:rPr>
        <w:t>”</w:t>
      </w:r>
    </w:p>
    <w:p w:rsidR="00AB3891" w:rsidRDefault="00AB3891" w:rsidP="00AB389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考评方案附件3《其他综合表现情况计分细则》第二条修改为“考评对象设有党组织（含联合党支部等）且正常开展党内活动的加1分；本单位没有建立党组织，但党员经单位所在地党组织证明正常参加属地日常党组织活动的，可以加0.5分。本项最多加1分。”</w:t>
      </w:r>
    </w:p>
    <w:p w:rsidR="00AB3891" w:rsidRDefault="00AB3891" w:rsidP="00AB389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7.考评方案附件3《其他综合表现情况计分细则》增加以下内容：“考评对象积极响应行业监管部门或行业协会党组织号召，主动参加集体党建活动或重大业务研讨活动的，每次加0.5分，本项最多加2分。”</w:t>
      </w:r>
    </w:p>
    <w:p w:rsidR="00AB3891" w:rsidRDefault="00AB3891" w:rsidP="00AB389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8.考评方案附件3《其他综合表现情况计分细则》第四条修改为“鼓励考评对象积极参与行业共建。我市招标投标协会会员单位加1分；因招标代理从业表现良好受到我省或我市建设行政主管部门或招投标监管部门表彰的，个人每项次加1分，最高加2分；单位每项次加1.5分，最高加3分。积极参加我省或我市行业监管部门组织的招投标业务竞赛，个人一等奖、二等奖、三等奖、纪念奖（参与奖），市级每项次分别加1分、0.7分、0.5分和0.3分，省级每项次分别加1.3分、1分、0.8分和0.5分，集体奖分值分别为同级别同档次个人奖的1.5倍，此项最高加6分；我市招标投标协会或我省建设监理与招投标</w:t>
      </w:r>
      <w:r>
        <w:rPr>
          <w:rFonts w:ascii="仿宋" w:eastAsia="仿宋" w:hAnsi="仿宋" w:cs="仿宋" w:hint="eastAsia"/>
          <w:sz w:val="32"/>
          <w:szCs w:val="32"/>
        </w:rPr>
        <w:lastRenderedPageBreak/>
        <w:t>协会表彰的（含组织的招投标业务竞赛获奖），按同级行政主管部门或行业监管部门的70%权重计取加分。”</w:t>
      </w:r>
    </w:p>
    <w:p w:rsidR="00AB3891" w:rsidRDefault="00AB3891" w:rsidP="00AB389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9.考评方案附件3《其他综合表现情况计分细则》第五条修改为“考评对象承办我市全市性招投标行业活动的，每次加2.5分，最高加5分；协助我市行业监管部门或招投标协会组织活动的每人次加0.2分，最多加1.5分；参与行业主管部门或市招标投标协会组织的公益活动（含捐赠）的，每次加0.5分，最高加1.5分。”</w:t>
      </w:r>
    </w:p>
    <w:p w:rsidR="00AB3891" w:rsidRDefault="00AB3891" w:rsidP="00AB389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10.考评方案附件3《其他综合表现情况计分细则》第六条修改为“考评对象就我市招投标市场健康规范发展或招投标监管制度机制优化完善方面，向我市市级招投标监管部门建言献策并被采纳的，每条加0.3分，最高加1.5分。”</w:t>
      </w:r>
    </w:p>
    <w:p w:rsidR="00AB3891" w:rsidRDefault="00AB3891" w:rsidP="00AB389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以上内容为修订完善的主要内容，其他细微调整内容详见《连云港市建设工程项目招标代理综合考评实施方案（2024年度）》全文，请各有关单位全面仔细地认真学习领会，并根据该方案做好2024年度综合考评相关准备工作。</w:t>
      </w:r>
    </w:p>
    <w:p w:rsidR="00AB3891" w:rsidRDefault="00AB3891" w:rsidP="00AB3891">
      <w:pPr>
        <w:rPr>
          <w:rFonts w:ascii="仿宋" w:eastAsia="仿宋" w:hAnsi="仿宋" w:cs="仿宋"/>
          <w:sz w:val="32"/>
          <w:szCs w:val="32"/>
        </w:rPr>
      </w:pPr>
    </w:p>
    <w:p w:rsidR="00AB3891" w:rsidRDefault="00AB3891">
      <w:pPr>
        <w:widowControl/>
        <w:jc w:val="left"/>
        <w:rPr>
          <w:rFonts w:ascii="黑体" w:eastAsia="黑体" w:hAnsi="黑体" w:cs="黑体"/>
          <w:sz w:val="32"/>
          <w:szCs w:val="32"/>
        </w:rPr>
      </w:pPr>
      <w:r>
        <w:rPr>
          <w:rFonts w:ascii="黑体" w:eastAsia="黑体" w:hAnsi="黑体" w:cs="黑体"/>
          <w:sz w:val="32"/>
          <w:szCs w:val="32"/>
        </w:rPr>
        <w:br w:type="page"/>
      </w:r>
    </w:p>
    <w:p w:rsidR="00AB3891" w:rsidRDefault="00AB3891" w:rsidP="00AB3891">
      <w:pPr>
        <w:spacing w:line="600" w:lineRule="exact"/>
        <w:rPr>
          <w:rFonts w:ascii="黑体" w:eastAsia="黑体" w:hAnsi="黑体" w:cs="黑体"/>
          <w:sz w:val="32"/>
          <w:szCs w:val="32"/>
        </w:rPr>
      </w:pPr>
      <w:r>
        <w:rPr>
          <w:rFonts w:ascii="黑体" w:eastAsia="黑体" w:hAnsi="黑体" w:cs="黑体" w:hint="eastAsia"/>
          <w:sz w:val="32"/>
          <w:szCs w:val="32"/>
        </w:rPr>
        <w:lastRenderedPageBreak/>
        <w:t>附件2</w:t>
      </w:r>
    </w:p>
    <w:p w:rsidR="00AB3891" w:rsidRDefault="00AB3891" w:rsidP="00AB3891">
      <w:pPr>
        <w:spacing w:line="600" w:lineRule="exact"/>
        <w:rPr>
          <w:rFonts w:ascii="黑体" w:eastAsia="黑体" w:hAnsi="黑体" w:cs="黑体"/>
          <w:sz w:val="32"/>
          <w:szCs w:val="32"/>
        </w:rPr>
      </w:pPr>
    </w:p>
    <w:p w:rsidR="00AB3891" w:rsidRDefault="00AB3891" w:rsidP="00AB3891">
      <w:pPr>
        <w:spacing w:line="600" w:lineRule="exact"/>
        <w:jc w:val="center"/>
        <w:rPr>
          <w:rFonts w:ascii="方正小标宋_GBK" w:eastAsia="方正小标宋_GBK" w:hAnsi="黑体"/>
          <w:sz w:val="44"/>
          <w:szCs w:val="44"/>
        </w:rPr>
      </w:pPr>
      <w:r>
        <w:rPr>
          <w:rFonts w:ascii="方正小标宋_GBK" w:eastAsia="方正小标宋_GBK" w:hAnsi="黑体" w:hint="eastAsia"/>
          <w:sz w:val="44"/>
          <w:szCs w:val="44"/>
        </w:rPr>
        <w:t>连云港市建设工程项目招标代理综合考评</w:t>
      </w:r>
    </w:p>
    <w:p w:rsidR="00AB3891" w:rsidRDefault="00AB3891" w:rsidP="00AB3891">
      <w:pPr>
        <w:spacing w:line="600" w:lineRule="exact"/>
        <w:jc w:val="center"/>
        <w:rPr>
          <w:rFonts w:ascii="方正小标宋_GBK" w:eastAsia="方正小标宋_GBK" w:hAnsi="黑体"/>
          <w:sz w:val="44"/>
          <w:szCs w:val="44"/>
        </w:rPr>
      </w:pPr>
      <w:r>
        <w:rPr>
          <w:rFonts w:ascii="方正小标宋_GBK" w:eastAsia="方正小标宋_GBK" w:hAnsi="黑体" w:hint="eastAsia"/>
          <w:sz w:val="44"/>
          <w:szCs w:val="44"/>
        </w:rPr>
        <w:t>实施方案（2024年度）</w:t>
      </w:r>
    </w:p>
    <w:p w:rsidR="00AB3891" w:rsidRDefault="00AB3891" w:rsidP="00AB3891">
      <w:pPr>
        <w:pStyle w:val="a8"/>
        <w:widowControl/>
        <w:shd w:val="clear" w:color="auto" w:fill="FFFFFF"/>
        <w:spacing w:before="0" w:beforeAutospacing="0" w:after="0" w:afterAutospacing="0" w:line="600" w:lineRule="exact"/>
        <w:ind w:firstLineChars="200" w:firstLine="640"/>
        <w:jc w:val="both"/>
        <w:rPr>
          <w:rFonts w:ascii="仿宋" w:eastAsia="仿宋" w:hAnsi="仿宋" w:cs="仿宋"/>
          <w:sz w:val="32"/>
          <w:szCs w:val="32"/>
        </w:rPr>
      </w:pPr>
    </w:p>
    <w:p w:rsidR="00AB3891" w:rsidRDefault="00AB3891" w:rsidP="00AB3891">
      <w:pPr>
        <w:pStyle w:val="a8"/>
        <w:widowControl/>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为进一步加强事中事后监管，规范我市招标代理机构从业行为，促进行业健康有序发展，努力营造公平公正、公开透明和诚实信用的招投标市场环境，依据《</w:t>
      </w:r>
      <w:r>
        <w:rPr>
          <w:rFonts w:ascii="仿宋" w:eastAsia="仿宋" w:hAnsi="仿宋" w:cs="仿宋" w:hint="eastAsia"/>
          <w:bCs/>
          <w:kern w:val="2"/>
          <w:sz w:val="32"/>
          <w:szCs w:val="32"/>
        </w:rPr>
        <w:t>国务院关于加强和规范事中事后监管的指导意见</w:t>
      </w:r>
      <w:r>
        <w:rPr>
          <w:rFonts w:ascii="仿宋" w:eastAsia="仿宋" w:hAnsi="仿宋" w:cs="仿宋" w:hint="eastAsia"/>
          <w:sz w:val="32"/>
          <w:szCs w:val="32"/>
        </w:rPr>
        <w:t>》</w:t>
      </w:r>
      <w:r>
        <w:rPr>
          <w:rFonts w:ascii="仿宋" w:eastAsia="仿宋" w:hAnsi="仿宋" w:cs="仿宋" w:hint="eastAsia"/>
          <w:bCs/>
          <w:sz w:val="32"/>
          <w:szCs w:val="32"/>
        </w:rPr>
        <w:t>（国发〔2019〕18号）、《国务院办公厅关于创新完善体制机制推动招标投标市场规范健康发展的意见》（国办发〔2024〕21号）、</w:t>
      </w:r>
      <w:r>
        <w:rPr>
          <w:rFonts w:ascii="仿宋" w:eastAsia="仿宋" w:hAnsi="仿宋" w:cs="仿宋" w:hint="eastAsia"/>
          <w:sz w:val="32"/>
          <w:szCs w:val="32"/>
        </w:rPr>
        <w:t>《</w:t>
      </w:r>
      <w:r>
        <w:rPr>
          <w:rFonts w:ascii="仿宋" w:eastAsia="仿宋" w:hAnsi="仿宋" w:cs="仿宋" w:hint="eastAsia"/>
          <w:kern w:val="2"/>
          <w:sz w:val="32"/>
          <w:szCs w:val="32"/>
        </w:rPr>
        <w:t>住建部办公厅关于取消工程建设项目招标代理机构资格认定加强事中事后监管的通知</w:t>
      </w:r>
      <w:r>
        <w:rPr>
          <w:rFonts w:ascii="仿宋" w:eastAsia="仿宋" w:hAnsi="仿宋" w:cs="仿宋" w:hint="eastAsia"/>
          <w:sz w:val="32"/>
          <w:szCs w:val="32"/>
        </w:rPr>
        <w:t>》（</w:t>
      </w:r>
      <w:proofErr w:type="gramStart"/>
      <w:r>
        <w:rPr>
          <w:rFonts w:ascii="仿宋" w:eastAsia="仿宋" w:hAnsi="仿宋" w:cs="仿宋" w:hint="eastAsia"/>
          <w:kern w:val="2"/>
          <w:sz w:val="32"/>
          <w:szCs w:val="32"/>
        </w:rPr>
        <w:t>建办市</w:t>
      </w:r>
      <w:r>
        <w:rPr>
          <w:rFonts w:ascii="仿宋" w:eastAsia="仿宋" w:hAnsi="仿宋" w:cs="仿宋" w:hint="eastAsia"/>
          <w:sz w:val="32"/>
          <w:szCs w:val="32"/>
        </w:rPr>
        <w:t>〔2017〕</w:t>
      </w:r>
      <w:proofErr w:type="gramEnd"/>
      <w:r>
        <w:rPr>
          <w:rFonts w:ascii="仿宋" w:eastAsia="仿宋" w:hAnsi="仿宋" w:cs="仿宋" w:hint="eastAsia"/>
          <w:sz w:val="32"/>
          <w:szCs w:val="32"/>
        </w:rPr>
        <w:t>77号）、《江苏省招标投标条例》以及有关法律法规，按照年度工作部署，拟对2024年</w:t>
      </w:r>
      <w:r>
        <w:rPr>
          <w:rFonts w:ascii="仿宋" w:eastAsia="仿宋" w:hAnsi="仿宋" w:cs="仿宋" w:hint="eastAsia"/>
          <w:kern w:val="2"/>
          <w:sz w:val="32"/>
          <w:szCs w:val="32"/>
        </w:rPr>
        <w:t>在我市从业的建设工程招标代理机构进行综合考评，并根据考评结果实施差异化管理。</w:t>
      </w:r>
    </w:p>
    <w:p w:rsidR="00AB3891" w:rsidRDefault="00AB3891" w:rsidP="00AB3891">
      <w:pPr>
        <w:pStyle w:val="a8"/>
        <w:widowControl/>
        <w:shd w:val="clear" w:color="auto" w:fill="FFFFFF"/>
        <w:spacing w:before="0" w:beforeAutospacing="0" w:after="0" w:afterAutospacing="0" w:line="560" w:lineRule="exact"/>
        <w:ind w:firstLineChars="200" w:firstLine="640"/>
        <w:jc w:val="both"/>
        <w:rPr>
          <w:rFonts w:ascii="黑体" w:eastAsia="黑体" w:hAnsi="黑体" w:cs="黑体"/>
          <w:bCs/>
          <w:sz w:val="32"/>
          <w:szCs w:val="32"/>
        </w:rPr>
      </w:pPr>
      <w:r>
        <w:rPr>
          <w:rFonts w:ascii="黑体" w:eastAsia="黑体" w:hAnsi="黑体" w:cs="黑体" w:hint="eastAsia"/>
          <w:bCs/>
          <w:sz w:val="32"/>
          <w:szCs w:val="32"/>
        </w:rPr>
        <w:t>一、基本原则</w:t>
      </w:r>
    </w:p>
    <w:p w:rsidR="00AB3891" w:rsidRDefault="00AB3891" w:rsidP="00AB3891">
      <w:pPr>
        <w:pStyle w:val="a8"/>
        <w:widowControl/>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楷体" w:eastAsia="楷体" w:hAnsi="楷体" w:cs="楷体" w:hint="eastAsia"/>
          <w:bCs/>
          <w:sz w:val="32"/>
          <w:szCs w:val="32"/>
        </w:rPr>
        <w:t>（一）实事求是。</w:t>
      </w:r>
      <w:r>
        <w:rPr>
          <w:rFonts w:ascii="仿宋" w:eastAsia="仿宋" w:hAnsi="仿宋" w:cs="仿宋" w:hint="eastAsia"/>
          <w:sz w:val="32"/>
          <w:szCs w:val="32"/>
        </w:rPr>
        <w:t>综合考评坚持以事实为依据，用客观统一的标准评价参加综合考评的招标代理机构的实际情况。</w:t>
      </w:r>
    </w:p>
    <w:p w:rsidR="00AB3891" w:rsidRDefault="00AB3891" w:rsidP="00AB3891">
      <w:pPr>
        <w:pStyle w:val="a8"/>
        <w:widowControl/>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楷体" w:eastAsia="楷体" w:hAnsi="楷体" w:cs="楷体" w:hint="eastAsia"/>
          <w:bCs/>
          <w:sz w:val="32"/>
          <w:szCs w:val="32"/>
        </w:rPr>
        <w:t>（二）统筹兼顾。</w:t>
      </w:r>
      <w:r>
        <w:rPr>
          <w:rFonts w:ascii="仿宋" w:eastAsia="仿宋" w:hAnsi="仿宋" w:cs="仿宋" w:hint="eastAsia"/>
          <w:sz w:val="32"/>
          <w:szCs w:val="32"/>
        </w:rPr>
        <w:t>综合考评兼顾考评对象从业基本条件、实际经营行为和省动态考核以及其他综合表现情况；数据来源兼顾现场评价和“江苏省建设工程招投标行政监督平台”考评</w:t>
      </w:r>
      <w:r>
        <w:rPr>
          <w:rFonts w:ascii="仿宋" w:eastAsia="仿宋" w:hAnsi="仿宋" w:cs="仿宋" w:hint="eastAsia"/>
          <w:sz w:val="32"/>
          <w:szCs w:val="32"/>
        </w:rPr>
        <w:lastRenderedPageBreak/>
        <w:t>记录；价值取向兼顾公平和效率，努力提升综合考评结果的全面性和客观性。</w:t>
      </w:r>
    </w:p>
    <w:p w:rsidR="00AB3891" w:rsidRDefault="00AB3891" w:rsidP="00AB3891">
      <w:pPr>
        <w:pStyle w:val="a8"/>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楷体" w:eastAsia="楷体" w:hAnsi="楷体" w:cs="楷体" w:hint="eastAsia"/>
          <w:bCs/>
          <w:sz w:val="32"/>
          <w:szCs w:val="32"/>
        </w:rPr>
        <w:t>（三）</w:t>
      </w:r>
      <w:proofErr w:type="gramStart"/>
      <w:r>
        <w:rPr>
          <w:rFonts w:ascii="楷体" w:eastAsia="楷体" w:hAnsi="楷体" w:cs="楷体" w:hint="eastAsia"/>
          <w:bCs/>
          <w:sz w:val="32"/>
          <w:szCs w:val="32"/>
        </w:rPr>
        <w:t>评管结合</w:t>
      </w:r>
      <w:proofErr w:type="gramEnd"/>
      <w:r>
        <w:rPr>
          <w:rFonts w:ascii="楷体" w:eastAsia="楷体" w:hAnsi="楷体" w:cs="楷体" w:hint="eastAsia"/>
          <w:bCs/>
          <w:sz w:val="32"/>
          <w:szCs w:val="32"/>
        </w:rPr>
        <w:t>。</w:t>
      </w:r>
      <w:r>
        <w:rPr>
          <w:rFonts w:ascii="仿宋" w:eastAsia="仿宋" w:hAnsi="仿宋" w:cs="仿宋" w:hint="eastAsia"/>
          <w:sz w:val="32"/>
          <w:szCs w:val="32"/>
        </w:rPr>
        <w:t>注重考评对象在我市从业的实际经营行为，尽量增加实际经营行为在综合量化考评中的权重，提升综合考评的客观性，引导招标代理机构树立“诚信守法经营、规范有序竞争”的规则意识。</w:t>
      </w:r>
    </w:p>
    <w:p w:rsidR="00AB3891" w:rsidRDefault="00AB3891" w:rsidP="00AB3891">
      <w:pPr>
        <w:pStyle w:val="a8"/>
        <w:widowControl/>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综合考评结果将及时向社会公布，供招标人选择代理机构时自主参考，同时也将作为监管部门对招标代理机构实行差异化监管的主要依据。</w:t>
      </w:r>
    </w:p>
    <w:p w:rsidR="00AB3891" w:rsidRDefault="00AB3891" w:rsidP="00AB3891">
      <w:pPr>
        <w:pStyle w:val="a8"/>
        <w:widowControl/>
        <w:shd w:val="clear" w:color="auto" w:fill="FFFFFF"/>
        <w:spacing w:before="0" w:beforeAutospacing="0" w:after="0" w:afterAutospacing="0" w:line="560" w:lineRule="exact"/>
        <w:ind w:firstLineChars="200" w:firstLine="640"/>
        <w:jc w:val="both"/>
        <w:rPr>
          <w:rFonts w:ascii="宋体" w:hAnsi="宋体" w:cs="宋体"/>
          <w:bCs/>
          <w:sz w:val="32"/>
          <w:szCs w:val="32"/>
        </w:rPr>
      </w:pPr>
      <w:r>
        <w:rPr>
          <w:rFonts w:ascii="黑体" w:eastAsia="黑体" w:hAnsi="黑体" w:cs="黑体" w:hint="eastAsia"/>
          <w:bCs/>
          <w:sz w:val="32"/>
          <w:szCs w:val="32"/>
        </w:rPr>
        <w:t>二、综合考评概述</w:t>
      </w:r>
    </w:p>
    <w:p w:rsidR="00AB3891" w:rsidRDefault="00AB3891" w:rsidP="00AB3891">
      <w:pPr>
        <w:pStyle w:val="a8"/>
        <w:widowControl/>
        <w:shd w:val="clear" w:color="auto" w:fill="FFFFFF"/>
        <w:spacing w:before="0" w:beforeAutospacing="0" w:after="0" w:afterAutospacing="0" w:line="560" w:lineRule="exact"/>
        <w:ind w:firstLineChars="200" w:firstLine="640"/>
        <w:jc w:val="both"/>
        <w:rPr>
          <w:rFonts w:ascii="楷体" w:eastAsia="楷体" w:hAnsi="楷体" w:cs="仿宋"/>
          <w:bCs/>
          <w:sz w:val="32"/>
          <w:szCs w:val="32"/>
        </w:rPr>
      </w:pPr>
      <w:r>
        <w:rPr>
          <w:rFonts w:ascii="楷体" w:eastAsia="楷体" w:hAnsi="楷体" w:cs="仿宋" w:hint="eastAsia"/>
          <w:bCs/>
          <w:sz w:val="32"/>
          <w:szCs w:val="32"/>
        </w:rPr>
        <w:t>（一）综合考评对象</w:t>
      </w:r>
    </w:p>
    <w:p w:rsidR="00AB3891" w:rsidRDefault="00AB3891" w:rsidP="00AB3891">
      <w:pPr>
        <w:pStyle w:val="a8"/>
        <w:widowControl/>
        <w:shd w:val="clear" w:color="auto" w:fill="FFFFFF"/>
        <w:spacing w:before="0" w:beforeAutospacing="0" w:after="0" w:afterAutospacing="0" w:line="56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我市综合考评对象范围为在我市从事建设工程招标代理业务的机构。未在规定期限内报名的，视为拒绝参加综合考评。监管部门将在综合考评结束后，如实反映并公布。</w:t>
      </w:r>
    </w:p>
    <w:p w:rsidR="00AB3891" w:rsidRDefault="00AB3891" w:rsidP="00AB3891">
      <w:pPr>
        <w:pStyle w:val="a8"/>
        <w:widowControl/>
        <w:shd w:val="clear" w:color="auto" w:fill="FFFFFF"/>
        <w:spacing w:before="0" w:beforeAutospacing="0" w:after="0" w:afterAutospacing="0" w:line="560" w:lineRule="exact"/>
        <w:ind w:firstLineChars="200" w:firstLine="640"/>
        <w:jc w:val="both"/>
        <w:rPr>
          <w:rFonts w:ascii="楷体" w:eastAsia="楷体" w:hAnsi="楷体" w:cs="仿宋"/>
          <w:bCs/>
          <w:sz w:val="32"/>
          <w:szCs w:val="32"/>
        </w:rPr>
      </w:pPr>
      <w:r>
        <w:rPr>
          <w:rFonts w:ascii="楷体" w:eastAsia="楷体" w:hAnsi="楷体" w:cs="仿宋" w:hint="eastAsia"/>
          <w:bCs/>
          <w:sz w:val="32"/>
          <w:szCs w:val="32"/>
        </w:rPr>
        <w:t>（二）综合考评流程</w:t>
      </w:r>
    </w:p>
    <w:p w:rsidR="00AB3891" w:rsidRDefault="00AB3891" w:rsidP="00AB3891">
      <w:pPr>
        <w:pStyle w:val="a8"/>
        <w:widowControl/>
        <w:shd w:val="clear" w:color="auto" w:fill="FFFFFF"/>
        <w:spacing w:before="0" w:beforeAutospacing="0" w:after="0" w:afterAutospacing="0" w:line="560" w:lineRule="exact"/>
        <w:ind w:firstLineChars="200" w:firstLine="640"/>
        <w:jc w:val="both"/>
        <w:rPr>
          <w:rFonts w:ascii="仿宋" w:eastAsia="仿宋" w:hAnsi="仿宋" w:cs="仿宋"/>
          <w:b/>
          <w:bCs/>
          <w:sz w:val="32"/>
          <w:szCs w:val="32"/>
        </w:rPr>
      </w:pPr>
      <w:r>
        <w:rPr>
          <w:rFonts w:ascii="仿宋" w:eastAsia="仿宋" w:hAnsi="仿宋" w:cs="仿宋" w:hint="eastAsia"/>
          <w:sz w:val="32"/>
          <w:szCs w:val="32"/>
        </w:rPr>
        <w:t>1.市建设工程招标办发布通知。招标代理机构在规定期限内到指定地点报名登记，并就其参加综合考评所提供的全部资料的真实有效性和诚信守法经营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书面承诺。</w:t>
      </w:r>
    </w:p>
    <w:p w:rsidR="00AB3891" w:rsidRDefault="00AB3891" w:rsidP="00AB3891">
      <w:pPr>
        <w:pStyle w:val="a8"/>
        <w:widowControl/>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2.市建设工程招标办对招标代理机构提交的报名资料进行初审。报名结束后，市建设工程招标办将适时组织招投标监管人员和行业相关专家分组开展现场考评工作。</w:t>
      </w:r>
    </w:p>
    <w:p w:rsidR="00AB3891" w:rsidRDefault="00AB3891" w:rsidP="00AB3891">
      <w:pPr>
        <w:pStyle w:val="a8"/>
        <w:widowControl/>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3.现场考评结束后，市建设工程招标办组织计算考评得分，并根据得分情况确定考评等级，在相关平台予以公布。各监管</w:t>
      </w:r>
      <w:r>
        <w:rPr>
          <w:rFonts w:ascii="仿宋" w:eastAsia="仿宋" w:hAnsi="仿宋" w:cs="仿宋" w:hint="eastAsia"/>
          <w:sz w:val="32"/>
          <w:szCs w:val="32"/>
        </w:rPr>
        <w:lastRenderedPageBreak/>
        <w:t>部门按照属地管辖原则对辖区内建设工程项目招标代理机构的实际经营行为和从业表现进行持续动态考评。动态考评过程中发现严重违法违规行为的及时报市建设工程招标办，市建设工程招标办将根据其行为性质和严重程度，及时调整其评价等级。</w:t>
      </w:r>
    </w:p>
    <w:p w:rsidR="00AB3891" w:rsidRDefault="00AB3891" w:rsidP="00AB3891">
      <w:pPr>
        <w:pStyle w:val="a8"/>
        <w:shd w:val="clear" w:color="auto" w:fill="FFFFFF"/>
        <w:spacing w:before="0" w:beforeAutospacing="0" w:after="0" w:afterAutospacing="0" w:line="560" w:lineRule="exact"/>
        <w:ind w:firstLineChars="200" w:firstLine="640"/>
        <w:jc w:val="both"/>
        <w:rPr>
          <w:rFonts w:ascii="楷体" w:eastAsia="楷体" w:hAnsi="楷体" w:cs="仿宋"/>
          <w:bCs/>
          <w:sz w:val="32"/>
          <w:szCs w:val="32"/>
        </w:rPr>
      </w:pPr>
      <w:r>
        <w:rPr>
          <w:rFonts w:ascii="楷体" w:eastAsia="楷体" w:hAnsi="楷体" w:cs="仿宋" w:hint="eastAsia"/>
          <w:bCs/>
          <w:sz w:val="32"/>
          <w:szCs w:val="32"/>
        </w:rPr>
        <w:t>（三）考评计分方法</w:t>
      </w:r>
    </w:p>
    <w:p w:rsidR="00AB3891" w:rsidRDefault="00AB3891" w:rsidP="00AB3891">
      <w:pPr>
        <w:pStyle w:val="a8"/>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综合考评包括从业基本条件、实际经营行为、省平台动态考核和其他综合表现四个方面，量化得分为四个方面得分的总和。</w:t>
      </w:r>
    </w:p>
    <w:p w:rsidR="00AB3891" w:rsidRDefault="00AB3891" w:rsidP="00AB3891">
      <w:pPr>
        <w:pStyle w:val="a8"/>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算法为：Z=C+J+D+Q</w:t>
      </w:r>
    </w:p>
    <w:p w:rsidR="00AB3891" w:rsidRDefault="00AB3891" w:rsidP="00AB3891">
      <w:pPr>
        <w:pStyle w:val="a8"/>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其中：Z为综合量化考评得分</w:t>
      </w:r>
    </w:p>
    <w:p w:rsidR="00AB3891" w:rsidRDefault="00AB3891" w:rsidP="00AB3891">
      <w:pPr>
        <w:pStyle w:val="a8"/>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 xml:space="preserve">      C为代理机构从业基本条件评价得分</w:t>
      </w:r>
    </w:p>
    <w:p w:rsidR="00AB3891" w:rsidRDefault="00AB3891" w:rsidP="00AB3891">
      <w:pPr>
        <w:pStyle w:val="a8"/>
        <w:shd w:val="clear" w:color="auto" w:fill="FFFFFF"/>
        <w:spacing w:before="0" w:beforeAutospacing="0" w:after="0" w:afterAutospacing="0" w:line="560" w:lineRule="exact"/>
        <w:ind w:firstLineChars="500" w:firstLine="1600"/>
        <w:jc w:val="both"/>
        <w:rPr>
          <w:rFonts w:ascii="仿宋" w:eastAsia="仿宋" w:hAnsi="仿宋" w:cs="仿宋"/>
          <w:sz w:val="32"/>
          <w:szCs w:val="32"/>
        </w:rPr>
      </w:pPr>
      <w:r>
        <w:rPr>
          <w:rFonts w:ascii="仿宋" w:eastAsia="仿宋" w:hAnsi="仿宋" w:cs="仿宋" w:hint="eastAsia"/>
          <w:sz w:val="32"/>
          <w:szCs w:val="32"/>
        </w:rPr>
        <w:t>J为实际经营行为考核评价得分</w:t>
      </w:r>
    </w:p>
    <w:p w:rsidR="00AB3891" w:rsidRDefault="00AB3891" w:rsidP="00AB3891">
      <w:pPr>
        <w:pStyle w:val="a8"/>
        <w:shd w:val="clear" w:color="auto" w:fill="FFFFFF"/>
        <w:spacing w:before="0" w:beforeAutospacing="0" w:after="0" w:afterAutospacing="0" w:line="560" w:lineRule="exact"/>
        <w:ind w:firstLineChars="500" w:firstLine="1600"/>
        <w:jc w:val="both"/>
        <w:rPr>
          <w:rFonts w:ascii="仿宋" w:eastAsia="仿宋" w:hAnsi="仿宋" w:cs="仿宋"/>
          <w:sz w:val="32"/>
          <w:szCs w:val="32"/>
        </w:rPr>
      </w:pPr>
      <w:r>
        <w:rPr>
          <w:rFonts w:ascii="仿宋" w:eastAsia="仿宋" w:hAnsi="仿宋" w:cs="仿宋" w:hint="eastAsia"/>
          <w:sz w:val="32"/>
          <w:szCs w:val="32"/>
        </w:rPr>
        <w:t>D为省平台抓取的代理动态考扣分</w:t>
      </w:r>
    </w:p>
    <w:p w:rsidR="00AB3891" w:rsidRDefault="00AB3891" w:rsidP="00AB3891">
      <w:pPr>
        <w:pStyle w:val="a8"/>
        <w:shd w:val="clear" w:color="auto" w:fill="FFFFFF"/>
        <w:spacing w:before="0" w:beforeAutospacing="0" w:after="0" w:afterAutospacing="0" w:line="560" w:lineRule="exact"/>
        <w:ind w:firstLineChars="500" w:firstLine="1600"/>
        <w:jc w:val="both"/>
        <w:rPr>
          <w:rFonts w:ascii="仿宋" w:eastAsia="仿宋" w:hAnsi="仿宋" w:cs="仿宋"/>
          <w:sz w:val="32"/>
          <w:szCs w:val="32"/>
        </w:rPr>
      </w:pPr>
      <w:r>
        <w:rPr>
          <w:rFonts w:ascii="仿宋" w:eastAsia="仿宋" w:hAnsi="仿宋" w:cs="仿宋" w:hint="eastAsia"/>
          <w:sz w:val="32"/>
          <w:szCs w:val="32"/>
        </w:rPr>
        <w:t>Q为其他综合表现</w:t>
      </w:r>
    </w:p>
    <w:p w:rsidR="00AB3891" w:rsidRDefault="00AB3891" w:rsidP="00AB3891">
      <w:pPr>
        <w:pStyle w:val="a8"/>
        <w:widowControl/>
        <w:shd w:val="clear" w:color="auto" w:fill="FFFFFF"/>
        <w:spacing w:before="0" w:beforeAutospacing="0" w:after="0" w:afterAutospacing="0" w:line="560" w:lineRule="exact"/>
        <w:ind w:firstLineChars="200" w:firstLine="640"/>
        <w:jc w:val="both"/>
        <w:rPr>
          <w:rFonts w:ascii="宋体" w:hAnsi="宋体" w:cs="宋体"/>
          <w:sz w:val="32"/>
          <w:szCs w:val="32"/>
        </w:rPr>
      </w:pPr>
      <w:r>
        <w:rPr>
          <w:rFonts w:ascii="黑体" w:eastAsia="黑体" w:hAnsi="黑体" w:cs="黑体" w:hint="eastAsia"/>
          <w:bCs/>
          <w:sz w:val="32"/>
          <w:szCs w:val="32"/>
        </w:rPr>
        <w:t>三、量化评分方法</w:t>
      </w:r>
    </w:p>
    <w:p w:rsidR="00AB3891" w:rsidRDefault="00AB3891" w:rsidP="00AB3891">
      <w:pPr>
        <w:pStyle w:val="a8"/>
        <w:widowControl/>
        <w:shd w:val="clear" w:color="auto" w:fill="FFFFFF"/>
        <w:spacing w:before="0" w:beforeAutospacing="0" w:after="0" w:afterAutospacing="0" w:line="560" w:lineRule="exact"/>
        <w:ind w:firstLineChars="200" w:firstLine="640"/>
        <w:jc w:val="both"/>
        <w:rPr>
          <w:rFonts w:ascii="楷体" w:eastAsia="楷体" w:hAnsi="楷体" w:cs="楷体"/>
          <w:bCs/>
          <w:sz w:val="32"/>
          <w:szCs w:val="32"/>
        </w:rPr>
      </w:pPr>
      <w:r>
        <w:rPr>
          <w:rFonts w:ascii="楷体" w:eastAsia="楷体" w:hAnsi="楷体" w:cs="楷体" w:hint="eastAsia"/>
          <w:bCs/>
          <w:sz w:val="32"/>
          <w:szCs w:val="32"/>
        </w:rPr>
        <w:t>（一）代理机构从业基本条件评价(详见附件1)</w:t>
      </w:r>
    </w:p>
    <w:p w:rsidR="00AB3891" w:rsidRDefault="00AB3891" w:rsidP="00AB3891">
      <w:pPr>
        <w:pStyle w:val="a8"/>
        <w:widowControl/>
        <w:shd w:val="clear" w:color="auto" w:fill="FFFFFF"/>
        <w:spacing w:before="0" w:beforeAutospacing="0" w:after="0" w:afterAutospacing="0" w:line="560" w:lineRule="exact"/>
        <w:ind w:firstLineChars="200" w:firstLine="640"/>
        <w:jc w:val="both"/>
        <w:rPr>
          <w:rFonts w:ascii="楷体" w:eastAsia="楷体" w:hAnsi="楷体" w:cs="楷体"/>
          <w:bCs/>
          <w:sz w:val="32"/>
          <w:szCs w:val="32"/>
        </w:rPr>
      </w:pPr>
      <w:r>
        <w:rPr>
          <w:rFonts w:ascii="楷体" w:eastAsia="楷体" w:hAnsi="楷体" w:cs="楷体" w:hint="eastAsia"/>
          <w:bCs/>
          <w:sz w:val="32"/>
          <w:szCs w:val="32"/>
        </w:rPr>
        <w:t>（二）实际经营行为评价</w:t>
      </w:r>
    </w:p>
    <w:p w:rsidR="00AB3891" w:rsidRDefault="00AB3891" w:rsidP="00AB3891">
      <w:pPr>
        <w:pStyle w:val="a8"/>
        <w:widowControl/>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实际经营行为全面反映考评对象各方面从业表现，包括但不限于机构建设、人员参与培训情况、业务知识考核、人员在岗履职情况、代理业务评价、有无重大违法违规行为以及服从监管等情况（详见附件2）。</w:t>
      </w:r>
    </w:p>
    <w:p w:rsidR="00AB3891" w:rsidRDefault="00AB3891" w:rsidP="00AB3891">
      <w:pPr>
        <w:pStyle w:val="a8"/>
        <w:widowControl/>
        <w:shd w:val="clear" w:color="auto" w:fill="FFFFFF"/>
        <w:spacing w:before="0" w:beforeAutospacing="0" w:after="0" w:afterAutospacing="0" w:line="560" w:lineRule="exact"/>
        <w:ind w:firstLineChars="200" w:firstLine="640"/>
        <w:jc w:val="both"/>
        <w:rPr>
          <w:rFonts w:ascii="楷体" w:eastAsia="楷体" w:hAnsi="楷体" w:cs="楷体"/>
          <w:bCs/>
          <w:sz w:val="32"/>
          <w:szCs w:val="32"/>
        </w:rPr>
      </w:pPr>
      <w:r>
        <w:rPr>
          <w:rFonts w:ascii="楷体" w:eastAsia="楷体" w:hAnsi="楷体" w:cs="楷体" w:hint="eastAsia"/>
          <w:bCs/>
          <w:sz w:val="32"/>
          <w:szCs w:val="32"/>
        </w:rPr>
        <w:t>（三）省平台动态考核</w:t>
      </w:r>
    </w:p>
    <w:p w:rsidR="00AB3891" w:rsidRDefault="00AB3891" w:rsidP="00AB3891">
      <w:pPr>
        <w:pStyle w:val="a8"/>
        <w:widowControl/>
        <w:shd w:val="clear" w:color="auto" w:fill="FFFFFF"/>
        <w:spacing w:before="0" w:beforeAutospacing="0" w:after="0" w:afterAutospacing="0" w:line="56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lastRenderedPageBreak/>
        <w:t>依据《省招标办关于印发</w:t>
      </w:r>
      <w:r>
        <w:rPr>
          <w:rFonts w:ascii="宋体" w:hAnsi="宋体" w:cs="宋体" w:hint="eastAsia"/>
          <w:sz w:val="32"/>
          <w:szCs w:val="32"/>
        </w:rPr>
        <w:t>〈</w:t>
      </w:r>
      <w:r>
        <w:rPr>
          <w:rFonts w:ascii="仿宋_GB2312" w:eastAsia="仿宋_GB2312" w:hAnsi="宋体" w:hint="eastAsia"/>
          <w:sz w:val="32"/>
          <w:szCs w:val="32"/>
        </w:rPr>
        <w:t>江苏省工程招标代理机构动态考评管理办法</w:t>
      </w:r>
      <w:r>
        <w:rPr>
          <w:rFonts w:ascii="宋体" w:hAnsi="宋体" w:cs="宋体" w:hint="eastAsia"/>
          <w:sz w:val="32"/>
          <w:szCs w:val="32"/>
        </w:rPr>
        <w:t>〉</w:t>
      </w:r>
      <w:r>
        <w:rPr>
          <w:rFonts w:ascii="仿宋_GB2312" w:eastAsia="仿宋_GB2312" w:hAnsi="宋体" w:hint="eastAsia"/>
          <w:sz w:val="32"/>
          <w:szCs w:val="32"/>
        </w:rPr>
        <w:t>（试行）的通知》（苏建招办</w:t>
      </w:r>
      <w:r>
        <w:rPr>
          <w:rFonts w:ascii="仿宋" w:eastAsia="仿宋" w:hAnsi="仿宋" w:cs="仿宋" w:hint="eastAsia"/>
          <w:sz w:val="32"/>
          <w:szCs w:val="32"/>
        </w:rPr>
        <w:t>〔2018〕9号</w:t>
      </w:r>
      <w:r>
        <w:rPr>
          <w:rFonts w:ascii="仿宋_GB2312" w:eastAsia="仿宋_GB2312" w:hAnsi="宋体" w:hint="eastAsia"/>
          <w:sz w:val="32"/>
          <w:szCs w:val="32"/>
        </w:rPr>
        <w:t>），通过省监管平台对招标代理业务行为进行动态考核。省平台动态考核连云港地区扣分直接计入我市招标代理综合量化考评得分。</w:t>
      </w:r>
    </w:p>
    <w:p w:rsidR="00AB3891" w:rsidRDefault="00AB3891" w:rsidP="00AB3891">
      <w:pPr>
        <w:pStyle w:val="a8"/>
        <w:shd w:val="clear" w:color="auto" w:fill="FFFFFF"/>
        <w:spacing w:before="0" w:beforeAutospacing="0" w:after="0" w:afterAutospacing="0" w:line="560" w:lineRule="exact"/>
        <w:ind w:firstLineChars="200" w:firstLine="640"/>
        <w:jc w:val="both"/>
        <w:rPr>
          <w:rFonts w:ascii="华文楷体" w:eastAsia="华文楷体" w:hAnsi="华文楷体" w:cs="仿宋"/>
          <w:sz w:val="32"/>
          <w:szCs w:val="32"/>
        </w:rPr>
      </w:pPr>
      <w:r>
        <w:rPr>
          <w:rFonts w:ascii="华文楷体" w:eastAsia="华文楷体" w:hAnsi="华文楷体" w:hint="eastAsia"/>
          <w:sz w:val="32"/>
          <w:szCs w:val="32"/>
        </w:rPr>
        <w:t>（四）其他综合表现</w:t>
      </w:r>
    </w:p>
    <w:p w:rsidR="00AB3891" w:rsidRDefault="00AB3891" w:rsidP="00AB3891">
      <w:pPr>
        <w:pStyle w:val="a8"/>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本项评价内容包括代理机构的党建工作、行业信用评价情况、行业自律评价、社会责任履行和公益慈善情况、响应主管部门或行业协会组织的活动情况、参与行业共建以及其他与招投标行业建设有关的活动、荣誉和贡献等。</w:t>
      </w:r>
    </w:p>
    <w:p w:rsidR="00AB3891" w:rsidRDefault="00AB3891" w:rsidP="00AB3891">
      <w:pPr>
        <w:pStyle w:val="a8"/>
        <w:widowControl/>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黑体" w:eastAsia="黑体" w:hAnsi="黑体" w:cs="黑体" w:hint="eastAsia"/>
          <w:bCs/>
          <w:sz w:val="32"/>
          <w:szCs w:val="32"/>
        </w:rPr>
        <w:t>四、综合评价</w:t>
      </w:r>
    </w:p>
    <w:p w:rsidR="00AB3891" w:rsidRDefault="00AB3891" w:rsidP="00AB3891">
      <w:pPr>
        <w:pStyle w:val="a8"/>
        <w:widowControl/>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监管部门依据量化考评得分对各考评对象进行综合评价。量化考评得分由高到低排序，前25%左右的考评对象列为“AAA”，中间50%左右的考评对象列为“AA”，后20%左右的考评对象列为“A”；</w:t>
      </w:r>
      <w:r>
        <w:rPr>
          <w:rFonts w:ascii="仿宋" w:eastAsia="仿宋" w:hAnsi="仿宋" w:cs="仿宋" w:hint="eastAsia"/>
          <w:b/>
          <w:bCs/>
          <w:sz w:val="32"/>
          <w:szCs w:val="32"/>
        </w:rPr>
        <w:t>最后5%左右以及达不到基本从业条件的列为</w:t>
      </w:r>
      <w:proofErr w:type="gramStart"/>
      <w:r>
        <w:rPr>
          <w:rFonts w:ascii="仿宋" w:eastAsia="仿宋" w:hAnsi="仿宋" w:cs="仿宋" w:hint="eastAsia"/>
          <w:b/>
          <w:bCs/>
          <w:sz w:val="32"/>
          <w:szCs w:val="32"/>
        </w:rPr>
        <w:t>无评价</w:t>
      </w:r>
      <w:proofErr w:type="gramEnd"/>
      <w:r>
        <w:rPr>
          <w:rFonts w:ascii="仿宋" w:eastAsia="仿宋" w:hAnsi="仿宋" w:cs="仿宋" w:hint="eastAsia"/>
          <w:b/>
          <w:bCs/>
          <w:sz w:val="32"/>
          <w:szCs w:val="32"/>
        </w:rPr>
        <w:t>等级。</w:t>
      </w:r>
      <w:r>
        <w:rPr>
          <w:rFonts w:ascii="仿宋" w:eastAsia="仿宋" w:hAnsi="仿宋" w:cs="仿宋" w:hint="eastAsia"/>
          <w:sz w:val="32"/>
          <w:szCs w:val="32"/>
        </w:rPr>
        <w:t>本次考评将根据参加考评的招标代理机构数量和综合考评具体情况，酌情考虑是否分为综合排名和本地注册企业排名两类。</w:t>
      </w:r>
    </w:p>
    <w:p w:rsidR="00AB3891" w:rsidRDefault="00AB3891" w:rsidP="00AB3891">
      <w:pPr>
        <w:pStyle w:val="a8"/>
        <w:widowControl/>
        <w:shd w:val="clear" w:color="auto" w:fill="FFFFFF"/>
        <w:spacing w:before="0" w:beforeAutospacing="0" w:after="0" w:afterAutospacing="0" w:line="560" w:lineRule="exact"/>
        <w:ind w:firstLineChars="200" w:firstLine="640"/>
        <w:jc w:val="both"/>
        <w:rPr>
          <w:rFonts w:ascii="黑体" w:eastAsia="黑体" w:hAnsi="黑体" w:cs="黑体"/>
          <w:bCs/>
          <w:sz w:val="32"/>
          <w:szCs w:val="32"/>
        </w:rPr>
      </w:pPr>
      <w:r>
        <w:rPr>
          <w:rFonts w:ascii="黑体" w:eastAsia="黑体" w:hAnsi="黑体" w:cs="黑体" w:hint="eastAsia"/>
          <w:bCs/>
          <w:sz w:val="32"/>
          <w:szCs w:val="32"/>
        </w:rPr>
        <w:t>五、结果公布</w:t>
      </w:r>
    </w:p>
    <w:p w:rsidR="00AB3891" w:rsidRDefault="00AB3891" w:rsidP="00AB3891">
      <w:pPr>
        <w:pStyle w:val="a8"/>
        <w:widowControl/>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综合考评结果及时通过连云港市住建局官网、连云港市公共资源交易网或江苏省建设工程交易网向社会公布，供招标人选择代理机构时自主参考，同时为市、县（区、功能板块）监管部门实施差异化监管提供依据。</w:t>
      </w:r>
    </w:p>
    <w:p w:rsidR="00AB3891" w:rsidRDefault="00AB3891" w:rsidP="00AB3891">
      <w:pPr>
        <w:pStyle w:val="a8"/>
        <w:widowControl/>
        <w:shd w:val="clear" w:color="auto" w:fill="FFFFFF"/>
        <w:spacing w:before="0" w:beforeAutospacing="0" w:after="0" w:afterAutospacing="0" w:line="560" w:lineRule="exact"/>
        <w:ind w:firstLineChars="200" w:firstLine="640"/>
        <w:jc w:val="both"/>
        <w:rPr>
          <w:rFonts w:ascii="黑体" w:eastAsia="黑体" w:hAnsi="黑体" w:cs="黑体"/>
          <w:bCs/>
          <w:sz w:val="32"/>
          <w:szCs w:val="32"/>
        </w:rPr>
      </w:pPr>
      <w:r>
        <w:rPr>
          <w:rFonts w:ascii="黑体" w:eastAsia="黑体" w:hAnsi="黑体" w:cs="黑体" w:hint="eastAsia"/>
          <w:bCs/>
          <w:sz w:val="32"/>
          <w:szCs w:val="32"/>
        </w:rPr>
        <w:lastRenderedPageBreak/>
        <w:t>六、分类监管</w:t>
      </w:r>
    </w:p>
    <w:p w:rsidR="00AB3891" w:rsidRDefault="00AB3891" w:rsidP="00AB3891">
      <w:pPr>
        <w:pStyle w:val="a8"/>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监管部门根据综合考评结果，对全市招标代理机构开展差异化监督和管理。对综合评价为“AAA”的代理机构，逐步放开招标前置条件和程序审查，减少检查的频次；对综合评价为“AA”的代理机构，实行常规化监管；对综合评价为“A”及无等级的招标代理机构，加强招标程序和人员到岗履职等情况监督，适当增加检查的频次或抽查比例；对未参加综合考评的招标代理机构，将作为重点监管对象，实行严格的招标前置条件和程序监督，提高事前审查和事中事后检查的频次。</w:t>
      </w:r>
    </w:p>
    <w:p w:rsidR="00AB3891" w:rsidRDefault="00AB3891" w:rsidP="00AB3891">
      <w:pPr>
        <w:pStyle w:val="a8"/>
        <w:widowControl/>
        <w:shd w:val="clear" w:color="auto" w:fill="FFFFFF"/>
        <w:spacing w:before="0" w:beforeAutospacing="0" w:after="0" w:afterAutospacing="0" w:line="560" w:lineRule="exact"/>
        <w:ind w:firstLineChars="200" w:firstLine="640"/>
        <w:jc w:val="both"/>
        <w:rPr>
          <w:rFonts w:ascii="宋体" w:hAnsi="宋体" w:cs="宋体"/>
          <w:bCs/>
          <w:sz w:val="32"/>
          <w:szCs w:val="32"/>
        </w:rPr>
      </w:pPr>
      <w:r>
        <w:rPr>
          <w:rFonts w:ascii="黑体" w:eastAsia="黑体" w:hAnsi="黑体" w:cs="黑体" w:hint="eastAsia"/>
          <w:bCs/>
          <w:sz w:val="32"/>
          <w:szCs w:val="32"/>
        </w:rPr>
        <w:t>七、监督管理</w:t>
      </w:r>
    </w:p>
    <w:p w:rsidR="00AB3891" w:rsidRDefault="00AB3891" w:rsidP="00AB389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连云港市住房和城乡建设局为我市建设工程招标代理机构综合考评和争议处理的行政主管部门，委托市建设工程招标办负责具体实施。</w:t>
      </w:r>
    </w:p>
    <w:p w:rsidR="00AB3891" w:rsidRDefault="00AB3891" w:rsidP="00AB389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市建设工程招标办根据工作需要，组织全市建设工程招标投标监管部门、连云港市招标投标协会、集中建设管理部门及国有平台相关人员参与综合考评工作，相关单位应当给予协助和配合。</w:t>
      </w:r>
    </w:p>
    <w:p w:rsidR="00AB3891" w:rsidRDefault="00AB3891" w:rsidP="00AB3891">
      <w:pPr>
        <w:pStyle w:val="a8"/>
        <w:widowControl/>
        <w:shd w:val="clear" w:color="auto" w:fill="FFFFFF"/>
        <w:spacing w:before="0" w:beforeAutospacing="0" w:after="0" w:afterAutospacing="0" w:line="560" w:lineRule="exact"/>
        <w:ind w:firstLineChars="200" w:firstLine="640"/>
        <w:jc w:val="both"/>
        <w:rPr>
          <w:rFonts w:ascii="黑体" w:eastAsia="黑体" w:hAnsi="黑体" w:cs="黑体"/>
          <w:bCs/>
          <w:sz w:val="32"/>
          <w:szCs w:val="32"/>
        </w:rPr>
      </w:pPr>
      <w:r>
        <w:rPr>
          <w:rFonts w:ascii="黑体" w:eastAsia="黑体" w:hAnsi="黑体" w:cs="黑体" w:hint="eastAsia"/>
          <w:bCs/>
          <w:sz w:val="32"/>
          <w:szCs w:val="32"/>
        </w:rPr>
        <w:t>八、权利义务</w:t>
      </w:r>
    </w:p>
    <w:p w:rsidR="00AB3891" w:rsidRDefault="00AB3891" w:rsidP="00AB389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在连云港市从事建设工程招标代理业务的机构均可报名参加综合考评。考评对象应提前准备好相关资料，确保人员在岗在职，并对其真实性、有效性负责。</w:t>
      </w:r>
    </w:p>
    <w:p w:rsidR="00AB3891" w:rsidRDefault="00AB3891" w:rsidP="00AB389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凡报名参加综合考评的单位，均视为响应、认同本综合考评的办法和标准。报名登记后原则上不得无故退出，否则须承</w:t>
      </w:r>
      <w:r>
        <w:rPr>
          <w:rFonts w:ascii="仿宋" w:eastAsia="仿宋" w:hAnsi="仿宋" w:cs="仿宋" w:hint="eastAsia"/>
          <w:sz w:val="32"/>
          <w:szCs w:val="32"/>
        </w:rPr>
        <w:lastRenderedPageBreak/>
        <w:t>担相关后果与责任。</w:t>
      </w:r>
    </w:p>
    <w:p w:rsidR="00AB3891" w:rsidRDefault="00AB3891" w:rsidP="00AB3891">
      <w:pPr>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九、退出机制</w:t>
      </w:r>
    </w:p>
    <w:p w:rsidR="00AB3891" w:rsidRDefault="00AB3891" w:rsidP="00AB389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参加考评的代理机构，存在下列情形之一的，视为该考评对象自动退出我市招标代理机构综合考评体系，监管部门可将相关情况向社会公布。</w:t>
      </w:r>
    </w:p>
    <w:p w:rsidR="00AB3891" w:rsidRDefault="00AB3891" w:rsidP="00AB389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（一）1年内未发现在我市从事建设工程招标代理业务，且无法取得联系的；</w:t>
      </w:r>
    </w:p>
    <w:p w:rsidR="00AB3891" w:rsidRDefault="00AB3891" w:rsidP="00AB389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（二）招标代理机构以企业注销、机构撤销或不再从事代理业务等为由，书面说明退出综合考评的；</w:t>
      </w:r>
    </w:p>
    <w:p w:rsidR="00AB3891" w:rsidRDefault="00AB3891" w:rsidP="00AB389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（三）招标代理机构提供虚假的综合考评资料、数据、人员情况的；</w:t>
      </w:r>
    </w:p>
    <w:p w:rsidR="00AB3891" w:rsidRDefault="00AB3891" w:rsidP="00AB389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（四）无正当理由拒不配合监管部门依法开展的监督执法且情节恶劣的；</w:t>
      </w:r>
    </w:p>
    <w:p w:rsidR="00AB3891" w:rsidRDefault="00AB3891" w:rsidP="00AB389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（五）被行政部门限制招标代理市场准入，且限制期限未满的；</w:t>
      </w:r>
    </w:p>
    <w:p w:rsidR="00AB3891" w:rsidRDefault="00AB3891" w:rsidP="00AB389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（六）存在其它违规违法行为应退出考评体系的。</w:t>
      </w:r>
    </w:p>
    <w:p w:rsidR="00AB3891" w:rsidRDefault="00AB3891" w:rsidP="00AB3891">
      <w:pPr>
        <w:spacing w:line="560" w:lineRule="exact"/>
        <w:ind w:firstLineChars="200" w:firstLine="640"/>
        <w:rPr>
          <w:rFonts w:ascii="黑体" w:eastAsia="黑体" w:hAnsi="黑体" w:cs="黑体"/>
          <w:b/>
          <w:bCs/>
          <w:kern w:val="0"/>
          <w:sz w:val="32"/>
          <w:szCs w:val="32"/>
        </w:rPr>
      </w:pPr>
      <w:r>
        <w:rPr>
          <w:rFonts w:ascii="仿宋" w:eastAsia="仿宋" w:hAnsi="仿宋" w:cs="仿宋" w:hint="eastAsia"/>
          <w:sz w:val="32"/>
          <w:szCs w:val="32"/>
        </w:rPr>
        <w:t>代理机构因上述原因退出综合考评体系的，其机构主要负责人在影响期限届满后方可再次提出参加考核和评价的申请。</w:t>
      </w:r>
    </w:p>
    <w:p w:rsidR="00AB3891" w:rsidRDefault="00AB3891" w:rsidP="00AB3891">
      <w:pPr>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十、申诉和监督</w:t>
      </w:r>
    </w:p>
    <w:p w:rsidR="00AB3891" w:rsidRDefault="00AB3891" w:rsidP="00AB3891">
      <w:pPr>
        <w:spacing w:line="560" w:lineRule="exact"/>
        <w:ind w:firstLineChars="198" w:firstLine="634"/>
        <w:rPr>
          <w:rFonts w:ascii="仿宋" w:eastAsia="仿宋" w:hAnsi="仿宋" w:cs="仿宋"/>
          <w:sz w:val="32"/>
          <w:szCs w:val="32"/>
        </w:rPr>
      </w:pPr>
      <w:r>
        <w:rPr>
          <w:rFonts w:ascii="仿宋" w:eastAsia="仿宋" w:hAnsi="仿宋" w:cs="仿宋" w:hint="eastAsia"/>
          <w:sz w:val="32"/>
          <w:szCs w:val="32"/>
        </w:rPr>
        <w:t>参加综合考评的招标代理机构发现考评结果存在计算错误或</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实情形的，可以向市建设工程招标办申请复核复评；发现参加综合考评的招标代理机构弄虚作假的，可以向市建设工程招标办举报；发现参加综合考评的工作人员有违规违纪违法</w:t>
      </w:r>
      <w:r>
        <w:rPr>
          <w:rFonts w:ascii="仿宋" w:eastAsia="仿宋" w:hAnsi="仿宋" w:cs="仿宋" w:hint="eastAsia"/>
          <w:sz w:val="32"/>
          <w:szCs w:val="32"/>
        </w:rPr>
        <w:lastRenderedPageBreak/>
        <w:t>行为或</w:t>
      </w:r>
      <w:proofErr w:type="gramStart"/>
      <w:r>
        <w:rPr>
          <w:rFonts w:ascii="仿宋" w:eastAsia="仿宋" w:hAnsi="仿宋" w:cs="仿宋" w:hint="eastAsia"/>
          <w:sz w:val="32"/>
          <w:szCs w:val="32"/>
        </w:rPr>
        <w:t>故意未</w:t>
      </w:r>
      <w:proofErr w:type="gramEnd"/>
      <w:r>
        <w:rPr>
          <w:rFonts w:ascii="仿宋" w:eastAsia="仿宋" w:hAnsi="仿宋" w:cs="仿宋" w:hint="eastAsia"/>
          <w:sz w:val="32"/>
          <w:szCs w:val="32"/>
        </w:rPr>
        <w:t>按打分标准如实考评的，可以向市建设工程招标办或纪检监察部门反映。</w:t>
      </w:r>
    </w:p>
    <w:p w:rsidR="00AB3891" w:rsidRDefault="00AB3891" w:rsidP="00AB3891">
      <w:pPr>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十一、其它事项</w:t>
      </w:r>
    </w:p>
    <w:p w:rsidR="00AB3891" w:rsidRDefault="00AB3891" w:rsidP="00AB389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（一）本方案由市建设工程招标办负责具体解释。</w:t>
      </w:r>
    </w:p>
    <w:p w:rsidR="00AB3891" w:rsidRDefault="00AB3891" w:rsidP="00AB389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（二）综合考评的依据和标准将根据上级最新政策适时调整。</w:t>
      </w:r>
    </w:p>
    <w:p w:rsidR="00AB3891" w:rsidRDefault="00AB3891" w:rsidP="00AB3891">
      <w:pPr>
        <w:pStyle w:val="a8"/>
        <w:widowControl/>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（三）动态考评得</w:t>
      </w:r>
      <w:r>
        <w:rPr>
          <w:rFonts w:ascii="仿宋" w:eastAsia="仿宋" w:hAnsi="仿宋" w:cs="仿宋" w:hint="eastAsia"/>
          <w:kern w:val="2"/>
          <w:sz w:val="32"/>
          <w:szCs w:val="32"/>
        </w:rPr>
        <w:t>分（省平台抓取信息）每12个月重新</w:t>
      </w:r>
      <w:r>
        <w:rPr>
          <w:rFonts w:ascii="仿宋" w:eastAsia="仿宋" w:hAnsi="仿宋" w:cs="仿宋" w:hint="eastAsia"/>
          <w:sz w:val="32"/>
          <w:szCs w:val="32"/>
        </w:rPr>
        <w:t>计算1次（</w:t>
      </w:r>
      <w:proofErr w:type="gramStart"/>
      <w:r>
        <w:rPr>
          <w:rFonts w:ascii="仿宋" w:eastAsia="仿宋" w:hAnsi="仿宋" w:cs="仿宋" w:hint="eastAsia"/>
          <w:sz w:val="32"/>
          <w:szCs w:val="32"/>
        </w:rPr>
        <w:t>所考核</w:t>
      </w:r>
      <w:proofErr w:type="gramEnd"/>
      <w:r>
        <w:rPr>
          <w:rFonts w:ascii="仿宋" w:eastAsia="仿宋" w:hAnsi="仿宋" w:cs="仿宋" w:hint="eastAsia"/>
          <w:sz w:val="32"/>
          <w:szCs w:val="32"/>
        </w:rPr>
        <w:t>年度的12个月）。</w:t>
      </w:r>
    </w:p>
    <w:p w:rsidR="00AB3891" w:rsidRDefault="00AB3891" w:rsidP="00AB389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（四）本次考评作为代理机构2024年度在我市从事建设工程招标代理行为的综合评价，不作为其后续入市从业的前提条件；2025年度综合考评时可根据实际情况</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适当调整。</w:t>
      </w:r>
    </w:p>
    <w:p w:rsidR="00AB3891" w:rsidRDefault="00AB3891" w:rsidP="00AB3891">
      <w:pPr>
        <w:spacing w:line="560" w:lineRule="exact"/>
        <w:ind w:firstLineChars="200" w:firstLine="640"/>
        <w:jc w:val="left"/>
        <w:rPr>
          <w:rFonts w:ascii="仿宋" w:eastAsia="仿宋" w:hAnsi="仿宋" w:cs="仿宋"/>
          <w:sz w:val="32"/>
          <w:szCs w:val="32"/>
        </w:rPr>
      </w:pPr>
    </w:p>
    <w:p w:rsidR="00AB3891" w:rsidRDefault="00AB3891" w:rsidP="00AB3891">
      <w:pPr>
        <w:spacing w:line="560" w:lineRule="exact"/>
        <w:ind w:leftChars="299" w:left="1607" w:hangingChars="306" w:hanging="979"/>
        <w:jc w:val="left"/>
        <w:rPr>
          <w:rFonts w:ascii="仿宋" w:eastAsia="仿宋" w:hAnsi="仿宋" w:cs="仿宋"/>
          <w:sz w:val="32"/>
          <w:szCs w:val="32"/>
        </w:rPr>
      </w:pPr>
      <w:r>
        <w:rPr>
          <w:rFonts w:ascii="仿宋" w:eastAsia="仿宋" w:hAnsi="仿宋" w:cs="仿宋" w:hint="eastAsia"/>
          <w:sz w:val="32"/>
          <w:szCs w:val="32"/>
        </w:rPr>
        <w:t>附</w:t>
      </w:r>
      <w:r>
        <w:rPr>
          <w:rFonts w:ascii="仿宋" w:eastAsia="仿宋" w:hAnsi="仿宋" w:cs="仿宋" w:hint="eastAsia"/>
          <w:sz w:val="32"/>
          <w:szCs w:val="32"/>
        </w:rPr>
        <w:t>件</w:t>
      </w:r>
      <w:r>
        <w:rPr>
          <w:rFonts w:ascii="仿宋" w:eastAsia="仿宋" w:hAnsi="仿宋" w:cs="仿宋" w:hint="eastAsia"/>
          <w:sz w:val="32"/>
          <w:szCs w:val="32"/>
        </w:rPr>
        <w:t>：1.从业基本条件评价指标和标准</w:t>
      </w:r>
    </w:p>
    <w:p w:rsidR="00AB3891" w:rsidRDefault="00AB3891" w:rsidP="00AB3891">
      <w:pPr>
        <w:spacing w:line="560" w:lineRule="exact"/>
        <w:ind w:leftChars="766" w:left="1609"/>
        <w:jc w:val="left"/>
        <w:rPr>
          <w:rFonts w:ascii="仿宋" w:eastAsia="仿宋" w:hAnsi="仿宋" w:cs="仿宋"/>
          <w:sz w:val="32"/>
          <w:szCs w:val="32"/>
        </w:rPr>
      </w:pPr>
      <w:r>
        <w:rPr>
          <w:rFonts w:ascii="仿宋" w:eastAsia="仿宋" w:hAnsi="仿宋" w:cs="仿宋" w:hint="eastAsia"/>
          <w:sz w:val="32"/>
          <w:szCs w:val="32"/>
        </w:rPr>
        <w:t xml:space="preserve">2.实际经营行为考评计分细则                </w:t>
      </w:r>
    </w:p>
    <w:p w:rsidR="00AB3891" w:rsidRDefault="00AB3891" w:rsidP="00AB3891">
      <w:pPr>
        <w:spacing w:line="600" w:lineRule="exact"/>
        <w:ind w:leftChars="766" w:left="1609" w:firstLineChars="4" w:firstLine="13"/>
        <w:rPr>
          <w:rFonts w:ascii="仿宋" w:eastAsia="仿宋" w:hAnsi="仿宋" w:cs="黑体"/>
          <w:sz w:val="32"/>
          <w:szCs w:val="32"/>
        </w:rPr>
      </w:pPr>
      <w:r>
        <w:rPr>
          <w:rFonts w:ascii="仿宋" w:eastAsia="仿宋" w:hAnsi="仿宋" w:cs="黑体" w:hint="eastAsia"/>
          <w:sz w:val="32"/>
          <w:szCs w:val="32"/>
        </w:rPr>
        <w:t>3.其他综合表现情况计分细则</w:t>
      </w:r>
    </w:p>
    <w:p w:rsidR="00AB3891" w:rsidRDefault="00AB3891" w:rsidP="00AB3891">
      <w:pPr>
        <w:snapToGrid w:val="0"/>
        <w:rPr>
          <w:rFonts w:ascii="黑体" w:eastAsia="黑体" w:hAnsi="黑体" w:cs="黑体"/>
          <w:sz w:val="32"/>
          <w:szCs w:val="32"/>
        </w:rPr>
      </w:pPr>
      <w:r>
        <w:rPr>
          <w:rFonts w:ascii="黑体" w:eastAsia="黑体" w:hAnsi="黑体" w:cs="黑体"/>
          <w:sz w:val="32"/>
          <w:szCs w:val="32"/>
        </w:rPr>
        <w:br w:type="page"/>
      </w:r>
      <w:r>
        <w:rPr>
          <w:rFonts w:ascii="黑体" w:eastAsia="黑体" w:hAnsi="黑体" w:cs="黑体" w:hint="eastAsia"/>
          <w:sz w:val="32"/>
          <w:szCs w:val="32"/>
        </w:rPr>
        <w:lastRenderedPageBreak/>
        <w:t>附件1</w:t>
      </w:r>
    </w:p>
    <w:p w:rsidR="00AB3891" w:rsidRDefault="00AB3891" w:rsidP="00AB3891">
      <w:pPr>
        <w:snapToGrid w:val="0"/>
        <w:rPr>
          <w:rFonts w:ascii="黑体" w:eastAsia="黑体" w:hAnsi="黑体" w:cs="黑体"/>
          <w:sz w:val="32"/>
          <w:szCs w:val="32"/>
        </w:rPr>
      </w:pPr>
    </w:p>
    <w:p w:rsidR="00AB3891" w:rsidRDefault="00AB3891" w:rsidP="00AB3891">
      <w:pPr>
        <w:snapToGrid w:val="0"/>
        <w:spacing w:line="640" w:lineRule="exact"/>
        <w:jc w:val="center"/>
        <w:rPr>
          <w:rFonts w:ascii="方正小标宋_GBK" w:eastAsia="方正小标宋_GBK" w:hAnsi="黑体"/>
          <w:sz w:val="44"/>
          <w:szCs w:val="44"/>
        </w:rPr>
      </w:pPr>
      <w:r>
        <w:rPr>
          <w:rFonts w:ascii="方正小标宋_GBK" w:eastAsia="方正小标宋_GBK" w:hAnsi="黑体" w:hint="eastAsia"/>
          <w:sz w:val="44"/>
          <w:szCs w:val="44"/>
        </w:rPr>
        <w:t>从业基本条件评价指标和标准</w:t>
      </w:r>
    </w:p>
    <w:p w:rsidR="00AB3891" w:rsidRDefault="00AB3891" w:rsidP="00AB3891">
      <w:pPr>
        <w:spacing w:line="600" w:lineRule="exact"/>
        <w:ind w:firstLineChars="200" w:firstLine="640"/>
        <w:rPr>
          <w:rFonts w:ascii="仿宋" w:eastAsia="仿宋" w:hAnsi="仿宋" w:cs="仿宋"/>
          <w:sz w:val="32"/>
          <w:szCs w:val="32"/>
        </w:rPr>
      </w:pPr>
    </w:p>
    <w:p w:rsidR="00AB3891" w:rsidRDefault="00AB3891" w:rsidP="00AB389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根据招标投标法和工程招标代理工作的实际需要，招标代理机构应合法设立并具备一定数量的专业人员、固定办公场所和业绩等基本条件。</w:t>
      </w:r>
    </w:p>
    <w:p w:rsidR="00AB3891" w:rsidRDefault="00AB3891" w:rsidP="00AB389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我市代理机构从业基本条件评价实行基本分制。满足所有条件的</w:t>
      </w:r>
      <w:proofErr w:type="gramStart"/>
      <w:r>
        <w:rPr>
          <w:rFonts w:ascii="仿宋" w:eastAsia="仿宋" w:hAnsi="仿宋" w:cs="仿宋" w:hint="eastAsia"/>
          <w:sz w:val="32"/>
          <w:szCs w:val="32"/>
        </w:rPr>
        <w:t>获基本</w:t>
      </w:r>
      <w:proofErr w:type="gramEnd"/>
      <w:r>
        <w:rPr>
          <w:rFonts w:ascii="仿宋" w:eastAsia="仿宋" w:hAnsi="仿宋" w:cs="仿宋" w:hint="eastAsia"/>
          <w:sz w:val="32"/>
          <w:szCs w:val="32"/>
        </w:rPr>
        <w:t>分60分；不满足的，根据被评价对象的实际情况计算相应基本分值。具体包括以下几个方面：</w:t>
      </w:r>
    </w:p>
    <w:p w:rsidR="00AB3891" w:rsidRDefault="00AB3891" w:rsidP="00AB3891">
      <w:pPr>
        <w:spacing w:line="560" w:lineRule="exact"/>
        <w:ind w:firstLineChars="200" w:firstLine="640"/>
        <w:rPr>
          <w:rFonts w:ascii="楷体" w:eastAsia="楷体" w:hAnsi="楷体" w:cs="仿宋"/>
          <w:sz w:val="32"/>
          <w:szCs w:val="32"/>
        </w:rPr>
      </w:pPr>
      <w:r>
        <w:rPr>
          <w:rFonts w:ascii="楷体" w:eastAsia="楷体" w:hAnsi="楷体" w:cs="仿宋" w:hint="eastAsia"/>
          <w:sz w:val="32"/>
          <w:szCs w:val="32"/>
        </w:rPr>
        <w:t>（一）营业场所（满分15分）</w:t>
      </w:r>
    </w:p>
    <w:p w:rsidR="00AB3891" w:rsidRDefault="00AB3891" w:rsidP="00AB389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代理机构须有自己的营业场所，营业场所面积不小于150㎡。满足150㎡的得10分；不足150㎡的，每少20㎡扣1分，营业场所少于50㎡的，本项不得分；超过150㎡的，每增加50㎡加1分，最多加5分。面积增减不足20㎡或50㎡的，分别按插入法计算，四舍五入保留一位小数。同一场所由两个及以上代理机构共用的，只认定为一个代理机构的营业场所。考评对象提供的营业场所须已实际用于办公经营且具有必要的办公设备，否则不予认可。</w:t>
      </w:r>
    </w:p>
    <w:p w:rsidR="00AB3891" w:rsidRDefault="00AB3891" w:rsidP="00AB389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代理机构应提供营业场所证明材料：自有产权的，需提供相应的权属证书；租用的，需提供房屋租赁登记备案证明；不能办理房屋租赁备案手续的，应提供出租人书面情况说明和租赁双方合同。</w:t>
      </w:r>
    </w:p>
    <w:p w:rsidR="00AB3891" w:rsidRDefault="00AB3891" w:rsidP="00AB3891">
      <w:pPr>
        <w:spacing w:line="560" w:lineRule="exact"/>
        <w:ind w:firstLineChars="200" w:firstLine="640"/>
        <w:rPr>
          <w:rFonts w:ascii="楷体" w:eastAsia="楷体" w:hAnsi="楷体" w:cs="仿宋"/>
          <w:sz w:val="32"/>
          <w:szCs w:val="32"/>
        </w:rPr>
      </w:pPr>
      <w:r>
        <w:rPr>
          <w:rFonts w:ascii="楷体" w:eastAsia="楷体" w:hAnsi="楷体" w:cs="仿宋" w:hint="eastAsia"/>
          <w:sz w:val="32"/>
          <w:szCs w:val="32"/>
        </w:rPr>
        <w:t>（二）从业人员（满分20分）</w:t>
      </w:r>
    </w:p>
    <w:p w:rsidR="00AB3891" w:rsidRDefault="00AB3891" w:rsidP="00AB389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代理机构须有自己的专业人员，具备不少于2名注册造价工程师（至少1名一级注册造价工程师）和3名熟悉招投标业务（以被考评年度招标代理业务考试合格为据）的工作人员。满足以上条件的得基本分15分；每增加1名一级注册造价工程师加3分，每增加1名二级注册</w:t>
      </w:r>
      <w:proofErr w:type="gramStart"/>
      <w:r>
        <w:rPr>
          <w:rFonts w:ascii="仿宋" w:eastAsia="仿宋" w:hAnsi="仿宋" w:cs="仿宋" w:hint="eastAsia"/>
          <w:sz w:val="32"/>
          <w:szCs w:val="32"/>
        </w:rPr>
        <w:t>造价师</w:t>
      </w:r>
      <w:proofErr w:type="gramEnd"/>
      <w:r>
        <w:rPr>
          <w:rFonts w:ascii="仿宋" w:eastAsia="仿宋" w:hAnsi="仿宋" w:cs="仿宋" w:hint="eastAsia"/>
          <w:sz w:val="32"/>
          <w:szCs w:val="32"/>
        </w:rPr>
        <w:t>加1分，本项最多加5分；每少1人扣1分，无一级注册造价工程师的，本项不得分。上述人员必须在申请考评的代理机构实际在岗履职，且不得同时在两个及以上单位注册和从业，否则视为弄虚作假。</w:t>
      </w:r>
    </w:p>
    <w:p w:rsidR="00AB3891" w:rsidRDefault="00AB3891" w:rsidP="00AB389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结合市场实际情况，对于市外公司以自己名义在连从业的、未办理独立营业执照的分支机构和办事处，相关人员劳动合同可与其总公司签订，社保可由总公司在其所在地缴纳，但该人员必须实际在连履职；对于已办理独立营业执照的分公司，相关人员劳动合同原则上应与该分公司签订，社保原则上应由该分公司在连缴纳，特殊情况需</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书面合理说明并提供相关佐证依据，否则不予认可；对于外地公司在连子公司和本地注册的公司，相关人员劳动合同须与考评对象签订，社保须由考评对象在本地缴纳，否则原则上不予认可；确有其它特殊情况的，由考评对象书面申请说明，由市建设工程招标办组织相关考评人员集体研究确定。</w:t>
      </w:r>
    </w:p>
    <w:p w:rsidR="00AB3891" w:rsidRDefault="00AB3891" w:rsidP="00AB389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考评对象应提供人员证明材料，包括注册证书、连续缴纳的近3个月</w:t>
      </w:r>
      <w:proofErr w:type="gramStart"/>
      <w:r>
        <w:rPr>
          <w:rFonts w:ascii="仿宋" w:eastAsia="仿宋" w:hAnsi="仿宋" w:cs="仿宋" w:hint="eastAsia"/>
          <w:sz w:val="32"/>
          <w:szCs w:val="32"/>
        </w:rPr>
        <w:t>社保证明</w:t>
      </w:r>
      <w:proofErr w:type="gramEnd"/>
      <w:r>
        <w:rPr>
          <w:rFonts w:ascii="仿宋" w:eastAsia="仿宋" w:hAnsi="仿宋" w:cs="仿宋" w:hint="eastAsia"/>
          <w:sz w:val="32"/>
          <w:szCs w:val="32"/>
        </w:rPr>
        <w:t>和劳动合同（代理机构成立或新录人员聘用不满3个月的，以实际时间为准）。退休返聘人员提供退休证书等材料后无需提供</w:t>
      </w:r>
      <w:proofErr w:type="gramStart"/>
      <w:r>
        <w:rPr>
          <w:rFonts w:ascii="仿宋" w:eastAsia="仿宋" w:hAnsi="仿宋" w:cs="仿宋" w:hint="eastAsia"/>
          <w:sz w:val="32"/>
          <w:szCs w:val="32"/>
        </w:rPr>
        <w:t>社保证明</w:t>
      </w:r>
      <w:proofErr w:type="gramEnd"/>
      <w:r>
        <w:rPr>
          <w:rFonts w:ascii="仿宋" w:eastAsia="仿宋" w:hAnsi="仿宋" w:cs="仿宋" w:hint="eastAsia"/>
          <w:sz w:val="32"/>
          <w:szCs w:val="32"/>
        </w:rPr>
        <w:t>（需具备满足工作需要的身体</w:t>
      </w:r>
      <w:r>
        <w:rPr>
          <w:rFonts w:ascii="仿宋" w:eastAsia="仿宋" w:hAnsi="仿宋" w:cs="仿宋" w:hint="eastAsia"/>
          <w:sz w:val="32"/>
          <w:szCs w:val="32"/>
        </w:rPr>
        <w:lastRenderedPageBreak/>
        <w:t>条件）。从业人员考评时须在岗在职并携带有效身份证供查验，确保“人证合一”，否则不予认可。</w:t>
      </w:r>
    </w:p>
    <w:p w:rsidR="00AB3891" w:rsidRDefault="00AB3891" w:rsidP="00AB389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（三）代理业绩（满分15分）</w:t>
      </w:r>
    </w:p>
    <w:p w:rsidR="00AB3891" w:rsidRDefault="00AB3891" w:rsidP="00AB389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考评对象在2024年1月1日至12月31日期间，在连云港市范围内完成过1项招标代理业务，且无</w:t>
      </w:r>
      <w:proofErr w:type="gramStart"/>
      <w:r>
        <w:rPr>
          <w:rFonts w:ascii="仿宋" w:eastAsia="仿宋" w:hAnsi="仿宋" w:cs="仿宋" w:hint="eastAsia"/>
          <w:sz w:val="32"/>
          <w:szCs w:val="32"/>
        </w:rPr>
        <w:t>严重业务</w:t>
      </w:r>
      <w:proofErr w:type="gramEnd"/>
      <w:r>
        <w:rPr>
          <w:rFonts w:ascii="仿宋" w:eastAsia="仿宋" w:hAnsi="仿宋" w:cs="仿宋" w:hint="eastAsia"/>
          <w:sz w:val="32"/>
          <w:szCs w:val="32"/>
        </w:rPr>
        <w:t>缺陷和失信行为的，即可得基本分12分；完成过2项及以上（要求同上）的，得15分。代理业务必须由申请考评的招标代理机构完成（以实际在岗履职的代理项目负责人和一级注册造价工程师为据），否则不予认可。本款所称代理业务须为建设工程项目，有完整的招投标资料，且招标过程无严重违法违规行为。</w:t>
      </w:r>
    </w:p>
    <w:p w:rsidR="00AB3891" w:rsidRDefault="00AB3891" w:rsidP="00AB3891">
      <w:pPr>
        <w:spacing w:line="560" w:lineRule="exact"/>
        <w:ind w:firstLineChars="200" w:firstLine="640"/>
        <w:rPr>
          <w:rFonts w:ascii="楷体" w:eastAsia="楷体" w:hAnsi="楷体" w:cs="仿宋"/>
          <w:sz w:val="32"/>
          <w:szCs w:val="32"/>
        </w:rPr>
      </w:pPr>
      <w:r>
        <w:rPr>
          <w:rFonts w:ascii="楷体" w:eastAsia="楷体" w:hAnsi="楷体" w:cs="仿宋" w:hint="eastAsia"/>
          <w:sz w:val="32"/>
          <w:szCs w:val="32"/>
        </w:rPr>
        <w:t>（四）其它材料（满分10分）</w:t>
      </w:r>
    </w:p>
    <w:p w:rsidR="00AB3891" w:rsidRDefault="00AB3891" w:rsidP="00AB389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考评对象应提供符合规定的营业执照，或授权委托、机构设立、人员聘任等证明材料以及考评所需的其他材料。材料齐全的得10分；材料严重不齐的，本项不得分。</w:t>
      </w:r>
    </w:p>
    <w:p w:rsidR="00AB3891" w:rsidRDefault="00AB3891" w:rsidP="00AB3891">
      <w:pPr>
        <w:spacing w:line="560" w:lineRule="exact"/>
        <w:rPr>
          <w:rFonts w:ascii="黑体" w:eastAsia="黑体" w:hAnsi="黑体" w:cs="黑体"/>
          <w:sz w:val="32"/>
          <w:szCs w:val="32"/>
        </w:rPr>
      </w:pPr>
    </w:p>
    <w:p w:rsidR="00AB3891" w:rsidRDefault="00AB3891" w:rsidP="00AB3891">
      <w:pPr>
        <w:spacing w:line="560" w:lineRule="exact"/>
        <w:rPr>
          <w:rFonts w:ascii="黑体" w:eastAsia="黑体" w:hAnsi="黑体" w:cs="黑体"/>
          <w:sz w:val="32"/>
          <w:szCs w:val="32"/>
        </w:rPr>
      </w:pPr>
    </w:p>
    <w:p w:rsidR="00AB3891" w:rsidRDefault="00AB3891" w:rsidP="00AB3891">
      <w:pPr>
        <w:rPr>
          <w:rFonts w:ascii="黑体" w:eastAsia="黑体" w:hAnsi="黑体" w:cs="黑体"/>
          <w:sz w:val="32"/>
          <w:szCs w:val="32"/>
        </w:rPr>
      </w:pPr>
      <w:r>
        <w:rPr>
          <w:rFonts w:ascii="黑体" w:eastAsia="黑体" w:hAnsi="黑体" w:cs="黑体"/>
          <w:sz w:val="32"/>
          <w:szCs w:val="32"/>
        </w:rPr>
        <w:br w:type="page"/>
      </w:r>
    </w:p>
    <w:p w:rsidR="00AB3891" w:rsidRDefault="00AB3891" w:rsidP="00AB3891">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附件2</w:t>
      </w:r>
    </w:p>
    <w:p w:rsidR="00AB3891" w:rsidRDefault="00AB3891" w:rsidP="00AB3891">
      <w:pPr>
        <w:spacing w:line="560" w:lineRule="exact"/>
        <w:rPr>
          <w:rFonts w:ascii="黑体" w:eastAsia="黑体" w:hAnsi="黑体" w:cs="黑体"/>
          <w:sz w:val="32"/>
          <w:szCs w:val="32"/>
        </w:rPr>
      </w:pPr>
    </w:p>
    <w:p w:rsidR="00AB3891" w:rsidRDefault="00AB3891" w:rsidP="00AB3891">
      <w:pPr>
        <w:snapToGrid w:val="0"/>
        <w:spacing w:line="600" w:lineRule="exact"/>
        <w:jc w:val="center"/>
        <w:rPr>
          <w:rFonts w:ascii="方正小标宋_GBK" w:eastAsia="方正小标宋_GBK" w:hAnsi="黑体"/>
          <w:sz w:val="44"/>
          <w:szCs w:val="44"/>
        </w:rPr>
      </w:pPr>
      <w:r>
        <w:rPr>
          <w:rFonts w:ascii="方正小标宋_GBK" w:eastAsia="方正小标宋_GBK" w:hAnsi="黑体" w:hint="eastAsia"/>
          <w:sz w:val="44"/>
          <w:szCs w:val="44"/>
        </w:rPr>
        <w:t>实际经营行为考评计分细则</w:t>
      </w:r>
    </w:p>
    <w:p w:rsidR="00AB3891" w:rsidRDefault="00AB3891" w:rsidP="00AB3891">
      <w:pPr>
        <w:spacing w:line="600" w:lineRule="exact"/>
        <w:jc w:val="center"/>
        <w:rPr>
          <w:rFonts w:ascii="仿宋" w:eastAsia="仿宋" w:hAnsi="仿宋" w:cs="仿宋"/>
          <w:sz w:val="32"/>
          <w:szCs w:val="32"/>
        </w:rPr>
      </w:pPr>
    </w:p>
    <w:p w:rsidR="00AB3891" w:rsidRDefault="00AB3891" w:rsidP="00AB3891">
      <w:pPr>
        <w:spacing w:line="600" w:lineRule="exact"/>
        <w:jc w:val="center"/>
        <w:rPr>
          <w:rFonts w:ascii="仿宋" w:eastAsia="仿宋" w:hAnsi="仿宋" w:cs="仿宋"/>
          <w:b/>
          <w:bCs/>
          <w:sz w:val="32"/>
          <w:szCs w:val="32"/>
        </w:rPr>
      </w:pPr>
      <w:r>
        <w:rPr>
          <w:rFonts w:ascii="仿宋" w:eastAsia="仿宋" w:hAnsi="仿宋" w:cs="仿宋" w:hint="eastAsia"/>
          <w:b/>
          <w:bCs/>
          <w:sz w:val="32"/>
          <w:szCs w:val="32"/>
        </w:rPr>
        <w:t>第一章 总则</w:t>
      </w:r>
    </w:p>
    <w:p w:rsidR="00AB3891" w:rsidRDefault="00AB3891" w:rsidP="00AB389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第一条 为全面体现连云港市建设工程招标代理综合考评对象（以下简称考评对象）的实际从业表现，使综合考评更加科学合理，形成积极的价值导向，依据《中华人民共和国招标投标法》《中华人民共和国招标投标法实施条例》《江苏省招标投标条例》等法律法规，制定本细则。</w:t>
      </w:r>
    </w:p>
    <w:p w:rsidR="00AB3891" w:rsidRDefault="00AB3891" w:rsidP="00AB389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第二条 本细则适用于连云港市建设工程招标代理综合考评的实际经营行为分值计算。</w:t>
      </w:r>
    </w:p>
    <w:p w:rsidR="00AB3891" w:rsidRDefault="00AB3891" w:rsidP="00AB389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第三条 实际经营行为考评计算得出的加分和减分总数可以乘以系数X后再计入量化考评总分。X的具体值由市建设工程招标办组织研究确定。未经研究的，X值取1.0。</w:t>
      </w:r>
    </w:p>
    <w:p w:rsidR="00AB3891" w:rsidRDefault="00AB3891" w:rsidP="00AB389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第四条 根据“分级负责、属地管理”原则，各县区（功能板块）建设工程招投标监管部门负责本辖区内综合考评实际经营行为分值的计取和核算，于每个计分周期结束后15日内报至市建设工程招标办汇总。</w:t>
      </w:r>
    </w:p>
    <w:p w:rsidR="00AB3891" w:rsidRDefault="00AB3891" w:rsidP="00AB3891">
      <w:pPr>
        <w:spacing w:line="600" w:lineRule="exact"/>
        <w:rPr>
          <w:rFonts w:ascii="仿宋" w:eastAsia="仿宋" w:hAnsi="仿宋" w:cs="仿宋"/>
          <w:b/>
          <w:bCs/>
          <w:sz w:val="32"/>
          <w:szCs w:val="32"/>
        </w:rPr>
      </w:pPr>
      <w:r>
        <w:rPr>
          <w:rFonts w:ascii="仿宋" w:eastAsia="仿宋" w:hAnsi="仿宋" w:cs="仿宋" w:hint="eastAsia"/>
          <w:sz w:val="32"/>
          <w:szCs w:val="32"/>
        </w:rPr>
        <w:t xml:space="preserve">    第五条 实际经营行为考评分值加分和减分以考评对象自身的实际行为为依据，非由考评对象实际实施的行为不予认可。</w:t>
      </w:r>
    </w:p>
    <w:p w:rsidR="00AB3891" w:rsidRDefault="00AB3891" w:rsidP="00AB3891">
      <w:pPr>
        <w:spacing w:line="600" w:lineRule="exact"/>
        <w:jc w:val="center"/>
        <w:rPr>
          <w:rFonts w:ascii="仿宋" w:eastAsia="仿宋" w:hAnsi="仿宋" w:cs="仿宋"/>
          <w:b/>
          <w:bCs/>
          <w:sz w:val="32"/>
          <w:szCs w:val="32"/>
        </w:rPr>
      </w:pPr>
      <w:r>
        <w:rPr>
          <w:rFonts w:ascii="仿宋" w:eastAsia="仿宋" w:hAnsi="仿宋" w:cs="仿宋" w:hint="eastAsia"/>
          <w:b/>
          <w:bCs/>
          <w:sz w:val="32"/>
          <w:szCs w:val="32"/>
        </w:rPr>
        <w:t>第二章 加分</w:t>
      </w:r>
    </w:p>
    <w:p w:rsidR="00AB3891" w:rsidRDefault="00AB3891" w:rsidP="00AB389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第六条 考评对象在“江苏省建设工程招投标行政监督平台”中完成我市建设工程招标代理项目可获得业务考核加分，计分方法如下。</w:t>
      </w:r>
    </w:p>
    <w:p w:rsidR="00AB3891" w:rsidRDefault="00AB3891" w:rsidP="00AB3891">
      <w:pPr>
        <w:spacing w:line="600" w:lineRule="exact"/>
        <w:ind w:firstLineChars="800" w:firstLine="2570"/>
        <w:rPr>
          <w:rFonts w:ascii="仿宋" w:eastAsia="仿宋" w:hAnsi="仿宋" w:cs="仿宋"/>
          <w:b/>
          <w:bCs/>
          <w:sz w:val="32"/>
          <w:szCs w:val="32"/>
        </w:rPr>
      </w:pPr>
      <w:r>
        <w:rPr>
          <w:rFonts w:ascii="仿宋" w:eastAsia="仿宋" w:hAnsi="仿宋" w:cs="仿宋" w:hint="eastAsia"/>
          <w:b/>
          <w:bCs/>
          <w:sz w:val="32"/>
          <w:szCs w:val="32"/>
        </w:rPr>
        <w:t>代理项目加分标准（表1）</w:t>
      </w:r>
    </w:p>
    <w:tbl>
      <w:tblPr>
        <w:tblStyle w:val="a9"/>
        <w:tblW w:w="0" w:type="auto"/>
        <w:tblInd w:w="303" w:type="dxa"/>
        <w:tblLook w:val="04A0" w:firstRow="1" w:lastRow="0" w:firstColumn="1" w:lastColumn="0" w:noHBand="0" w:noVBand="1"/>
      </w:tblPr>
      <w:tblGrid>
        <w:gridCol w:w="1215"/>
        <w:gridCol w:w="4230"/>
        <w:gridCol w:w="3198"/>
      </w:tblGrid>
      <w:tr w:rsidR="00AB3891" w:rsidTr="00890F1E">
        <w:tc>
          <w:tcPr>
            <w:tcW w:w="1215" w:type="dxa"/>
            <w:vAlign w:val="center"/>
          </w:tcPr>
          <w:p w:rsidR="00AB3891" w:rsidRDefault="00AB3891" w:rsidP="00890F1E">
            <w:pPr>
              <w:spacing w:line="600" w:lineRule="exact"/>
              <w:jc w:val="center"/>
              <w:rPr>
                <w:rFonts w:ascii="仿宋" w:eastAsia="仿宋" w:hAnsi="仿宋" w:cs="仿宋"/>
                <w:sz w:val="32"/>
                <w:szCs w:val="32"/>
              </w:rPr>
            </w:pPr>
            <w:r>
              <w:rPr>
                <w:rFonts w:ascii="仿宋" w:eastAsia="仿宋" w:hAnsi="仿宋" w:cs="仿宋" w:hint="eastAsia"/>
                <w:sz w:val="32"/>
                <w:szCs w:val="32"/>
              </w:rPr>
              <w:t>序号</w:t>
            </w:r>
          </w:p>
        </w:tc>
        <w:tc>
          <w:tcPr>
            <w:tcW w:w="4230" w:type="dxa"/>
            <w:vAlign w:val="center"/>
          </w:tcPr>
          <w:p w:rsidR="00AB3891" w:rsidRDefault="00AB3891" w:rsidP="00890F1E">
            <w:pPr>
              <w:spacing w:line="600" w:lineRule="exact"/>
              <w:jc w:val="center"/>
              <w:rPr>
                <w:rFonts w:ascii="仿宋" w:eastAsia="仿宋" w:hAnsi="仿宋" w:cs="仿宋"/>
                <w:sz w:val="32"/>
                <w:szCs w:val="32"/>
              </w:rPr>
            </w:pPr>
            <w:r>
              <w:rPr>
                <w:rFonts w:ascii="仿宋" w:eastAsia="仿宋" w:hAnsi="仿宋" w:cs="仿宋" w:hint="eastAsia"/>
                <w:sz w:val="32"/>
                <w:szCs w:val="32"/>
              </w:rPr>
              <w:t>项目规模</w:t>
            </w:r>
          </w:p>
        </w:tc>
        <w:tc>
          <w:tcPr>
            <w:tcW w:w="3198" w:type="dxa"/>
            <w:vAlign w:val="center"/>
          </w:tcPr>
          <w:p w:rsidR="00AB3891" w:rsidRDefault="00AB3891" w:rsidP="00890F1E">
            <w:pPr>
              <w:spacing w:line="600" w:lineRule="exact"/>
              <w:jc w:val="center"/>
              <w:rPr>
                <w:rFonts w:ascii="仿宋" w:eastAsia="仿宋" w:hAnsi="仿宋" w:cs="仿宋"/>
                <w:sz w:val="32"/>
                <w:szCs w:val="32"/>
              </w:rPr>
            </w:pPr>
            <w:r>
              <w:rPr>
                <w:rFonts w:ascii="仿宋" w:eastAsia="仿宋" w:hAnsi="仿宋" w:cs="仿宋" w:hint="eastAsia"/>
                <w:sz w:val="32"/>
                <w:szCs w:val="32"/>
              </w:rPr>
              <w:t>加分标准</w:t>
            </w:r>
          </w:p>
        </w:tc>
      </w:tr>
      <w:tr w:rsidR="00AB3891" w:rsidTr="00890F1E">
        <w:tc>
          <w:tcPr>
            <w:tcW w:w="1215" w:type="dxa"/>
            <w:vAlign w:val="center"/>
          </w:tcPr>
          <w:p w:rsidR="00AB3891" w:rsidRDefault="00AB3891" w:rsidP="00890F1E">
            <w:pPr>
              <w:spacing w:line="600" w:lineRule="exact"/>
              <w:jc w:val="center"/>
              <w:rPr>
                <w:rFonts w:ascii="仿宋" w:eastAsia="仿宋" w:hAnsi="仿宋" w:cs="仿宋"/>
                <w:sz w:val="32"/>
                <w:szCs w:val="32"/>
              </w:rPr>
            </w:pPr>
            <w:r>
              <w:rPr>
                <w:rFonts w:ascii="仿宋" w:eastAsia="仿宋" w:hAnsi="仿宋" w:cs="仿宋" w:hint="eastAsia"/>
                <w:sz w:val="32"/>
                <w:szCs w:val="32"/>
              </w:rPr>
              <w:t>1</w:t>
            </w:r>
          </w:p>
        </w:tc>
        <w:tc>
          <w:tcPr>
            <w:tcW w:w="4230" w:type="dxa"/>
            <w:vAlign w:val="center"/>
          </w:tcPr>
          <w:p w:rsidR="00AB3891" w:rsidRDefault="00AB3891" w:rsidP="00890F1E">
            <w:pPr>
              <w:spacing w:line="600" w:lineRule="exact"/>
              <w:jc w:val="center"/>
              <w:rPr>
                <w:rFonts w:ascii="仿宋" w:eastAsia="仿宋" w:hAnsi="仿宋" w:cs="仿宋"/>
                <w:sz w:val="32"/>
                <w:szCs w:val="32"/>
              </w:rPr>
            </w:pPr>
            <w:r>
              <w:rPr>
                <w:rFonts w:ascii="仿宋" w:eastAsia="仿宋" w:hAnsi="仿宋" w:cs="仿宋" w:hint="eastAsia"/>
                <w:sz w:val="32"/>
                <w:szCs w:val="32"/>
              </w:rPr>
              <w:t>EPC或评定分离项目</w:t>
            </w:r>
          </w:p>
        </w:tc>
        <w:tc>
          <w:tcPr>
            <w:tcW w:w="3198" w:type="dxa"/>
            <w:vAlign w:val="center"/>
          </w:tcPr>
          <w:p w:rsidR="00AB3891" w:rsidRDefault="00AB3891" w:rsidP="00890F1E">
            <w:pPr>
              <w:spacing w:line="600" w:lineRule="exact"/>
              <w:jc w:val="center"/>
              <w:rPr>
                <w:rFonts w:ascii="仿宋" w:eastAsia="仿宋" w:hAnsi="仿宋" w:cs="仿宋"/>
                <w:sz w:val="32"/>
                <w:szCs w:val="32"/>
              </w:rPr>
            </w:pPr>
            <w:r>
              <w:rPr>
                <w:rFonts w:ascii="仿宋" w:eastAsia="仿宋" w:hAnsi="仿宋" w:cs="仿宋" w:hint="eastAsia"/>
                <w:sz w:val="32"/>
                <w:szCs w:val="32"/>
              </w:rPr>
              <w:t>2分/项</w:t>
            </w:r>
          </w:p>
        </w:tc>
      </w:tr>
      <w:tr w:rsidR="00AB3891" w:rsidTr="00890F1E">
        <w:tc>
          <w:tcPr>
            <w:tcW w:w="1215" w:type="dxa"/>
            <w:vAlign w:val="center"/>
          </w:tcPr>
          <w:p w:rsidR="00AB3891" w:rsidRDefault="00AB3891" w:rsidP="00890F1E">
            <w:pPr>
              <w:spacing w:line="600" w:lineRule="exact"/>
              <w:jc w:val="center"/>
              <w:rPr>
                <w:rFonts w:ascii="仿宋" w:eastAsia="仿宋" w:hAnsi="仿宋" w:cs="仿宋"/>
                <w:sz w:val="32"/>
                <w:szCs w:val="32"/>
              </w:rPr>
            </w:pPr>
            <w:r>
              <w:rPr>
                <w:rFonts w:ascii="仿宋" w:eastAsia="仿宋" w:hAnsi="仿宋" w:cs="仿宋" w:hint="eastAsia"/>
                <w:sz w:val="32"/>
                <w:szCs w:val="32"/>
              </w:rPr>
              <w:t>2</w:t>
            </w:r>
          </w:p>
        </w:tc>
        <w:tc>
          <w:tcPr>
            <w:tcW w:w="4230" w:type="dxa"/>
            <w:vAlign w:val="center"/>
          </w:tcPr>
          <w:p w:rsidR="00AB3891" w:rsidRDefault="00AB3891" w:rsidP="00890F1E">
            <w:pPr>
              <w:spacing w:line="600" w:lineRule="exact"/>
              <w:jc w:val="center"/>
              <w:rPr>
                <w:rFonts w:ascii="仿宋" w:eastAsia="仿宋" w:hAnsi="仿宋" w:cs="仿宋"/>
                <w:sz w:val="32"/>
                <w:szCs w:val="32"/>
              </w:rPr>
            </w:pPr>
            <w:r>
              <w:rPr>
                <w:rFonts w:ascii="仿宋" w:eastAsia="仿宋" w:hAnsi="仿宋" w:cs="仿宋" w:hint="eastAsia"/>
                <w:sz w:val="32"/>
                <w:szCs w:val="32"/>
              </w:rPr>
              <w:t>5亿以上（估算价，下同）</w:t>
            </w:r>
          </w:p>
        </w:tc>
        <w:tc>
          <w:tcPr>
            <w:tcW w:w="3198" w:type="dxa"/>
            <w:vAlign w:val="center"/>
          </w:tcPr>
          <w:p w:rsidR="00AB3891" w:rsidRDefault="00AB3891" w:rsidP="00890F1E">
            <w:pPr>
              <w:spacing w:line="600" w:lineRule="exact"/>
              <w:jc w:val="center"/>
              <w:rPr>
                <w:rFonts w:ascii="仿宋" w:eastAsia="仿宋" w:hAnsi="仿宋" w:cs="仿宋"/>
                <w:sz w:val="32"/>
                <w:szCs w:val="32"/>
              </w:rPr>
            </w:pPr>
            <w:r>
              <w:rPr>
                <w:rFonts w:ascii="仿宋" w:eastAsia="仿宋" w:hAnsi="仿宋" w:cs="仿宋" w:hint="eastAsia"/>
                <w:sz w:val="32"/>
                <w:szCs w:val="32"/>
              </w:rPr>
              <w:t>1.5分/项</w:t>
            </w:r>
          </w:p>
        </w:tc>
      </w:tr>
      <w:tr w:rsidR="00AB3891" w:rsidTr="00890F1E">
        <w:tc>
          <w:tcPr>
            <w:tcW w:w="1215" w:type="dxa"/>
            <w:vAlign w:val="center"/>
          </w:tcPr>
          <w:p w:rsidR="00AB3891" w:rsidRDefault="00AB3891" w:rsidP="00890F1E">
            <w:pPr>
              <w:spacing w:line="600" w:lineRule="exact"/>
              <w:jc w:val="center"/>
              <w:rPr>
                <w:rFonts w:ascii="仿宋" w:eastAsia="仿宋" w:hAnsi="仿宋" w:cs="仿宋"/>
                <w:sz w:val="32"/>
                <w:szCs w:val="32"/>
              </w:rPr>
            </w:pPr>
            <w:r>
              <w:rPr>
                <w:rFonts w:ascii="仿宋" w:eastAsia="仿宋" w:hAnsi="仿宋" w:cs="仿宋" w:hint="eastAsia"/>
                <w:sz w:val="32"/>
                <w:szCs w:val="32"/>
              </w:rPr>
              <w:t>3</w:t>
            </w:r>
          </w:p>
        </w:tc>
        <w:tc>
          <w:tcPr>
            <w:tcW w:w="4230" w:type="dxa"/>
            <w:vAlign w:val="center"/>
          </w:tcPr>
          <w:p w:rsidR="00AB3891" w:rsidRDefault="00AB3891" w:rsidP="00890F1E">
            <w:pPr>
              <w:spacing w:line="600" w:lineRule="exact"/>
              <w:jc w:val="center"/>
              <w:rPr>
                <w:rFonts w:ascii="仿宋" w:eastAsia="仿宋" w:hAnsi="仿宋" w:cs="仿宋"/>
                <w:sz w:val="32"/>
                <w:szCs w:val="32"/>
              </w:rPr>
            </w:pPr>
            <w:r>
              <w:rPr>
                <w:rFonts w:ascii="仿宋" w:eastAsia="仿宋" w:hAnsi="仿宋" w:cs="仿宋" w:hint="eastAsia"/>
                <w:sz w:val="32"/>
                <w:szCs w:val="32"/>
              </w:rPr>
              <w:t>1亿至5亿</w:t>
            </w:r>
          </w:p>
        </w:tc>
        <w:tc>
          <w:tcPr>
            <w:tcW w:w="3198" w:type="dxa"/>
            <w:vAlign w:val="center"/>
          </w:tcPr>
          <w:p w:rsidR="00AB3891" w:rsidRDefault="00AB3891" w:rsidP="00890F1E">
            <w:pPr>
              <w:spacing w:line="600" w:lineRule="exact"/>
              <w:jc w:val="center"/>
              <w:rPr>
                <w:rFonts w:ascii="仿宋" w:eastAsia="仿宋" w:hAnsi="仿宋" w:cs="仿宋"/>
                <w:sz w:val="32"/>
                <w:szCs w:val="32"/>
              </w:rPr>
            </w:pPr>
            <w:r>
              <w:rPr>
                <w:rFonts w:ascii="仿宋" w:eastAsia="仿宋" w:hAnsi="仿宋" w:cs="仿宋" w:hint="eastAsia"/>
                <w:sz w:val="32"/>
                <w:szCs w:val="32"/>
              </w:rPr>
              <w:t>1.3分/项</w:t>
            </w:r>
          </w:p>
        </w:tc>
      </w:tr>
      <w:tr w:rsidR="00AB3891" w:rsidTr="00890F1E">
        <w:tc>
          <w:tcPr>
            <w:tcW w:w="1215" w:type="dxa"/>
            <w:vAlign w:val="center"/>
          </w:tcPr>
          <w:p w:rsidR="00AB3891" w:rsidRDefault="00AB3891" w:rsidP="00890F1E">
            <w:pPr>
              <w:spacing w:line="600" w:lineRule="exact"/>
              <w:jc w:val="center"/>
              <w:rPr>
                <w:rFonts w:ascii="仿宋" w:eastAsia="仿宋" w:hAnsi="仿宋" w:cs="仿宋"/>
                <w:sz w:val="32"/>
                <w:szCs w:val="32"/>
              </w:rPr>
            </w:pPr>
            <w:r>
              <w:rPr>
                <w:rFonts w:ascii="仿宋" w:eastAsia="仿宋" w:hAnsi="仿宋" w:cs="仿宋" w:hint="eastAsia"/>
                <w:sz w:val="32"/>
                <w:szCs w:val="32"/>
              </w:rPr>
              <w:t>4</w:t>
            </w:r>
          </w:p>
        </w:tc>
        <w:tc>
          <w:tcPr>
            <w:tcW w:w="4230" w:type="dxa"/>
            <w:vAlign w:val="center"/>
          </w:tcPr>
          <w:p w:rsidR="00AB3891" w:rsidRDefault="00AB3891" w:rsidP="00890F1E">
            <w:pPr>
              <w:spacing w:line="600" w:lineRule="exact"/>
              <w:jc w:val="center"/>
              <w:rPr>
                <w:rFonts w:ascii="仿宋" w:eastAsia="仿宋" w:hAnsi="仿宋" w:cs="仿宋"/>
                <w:sz w:val="32"/>
                <w:szCs w:val="32"/>
              </w:rPr>
            </w:pPr>
            <w:r>
              <w:rPr>
                <w:rFonts w:ascii="仿宋" w:eastAsia="仿宋" w:hAnsi="仿宋" w:cs="仿宋" w:hint="eastAsia"/>
                <w:sz w:val="32"/>
                <w:szCs w:val="32"/>
              </w:rPr>
              <w:t>1亿以下</w:t>
            </w:r>
          </w:p>
        </w:tc>
        <w:tc>
          <w:tcPr>
            <w:tcW w:w="3198" w:type="dxa"/>
            <w:vAlign w:val="center"/>
          </w:tcPr>
          <w:p w:rsidR="00AB3891" w:rsidRDefault="00AB3891" w:rsidP="00890F1E">
            <w:pPr>
              <w:spacing w:line="600" w:lineRule="exact"/>
              <w:jc w:val="center"/>
              <w:rPr>
                <w:rFonts w:ascii="仿宋" w:eastAsia="仿宋" w:hAnsi="仿宋" w:cs="仿宋"/>
                <w:sz w:val="32"/>
                <w:szCs w:val="32"/>
              </w:rPr>
            </w:pPr>
            <w:r>
              <w:rPr>
                <w:rFonts w:ascii="仿宋" w:eastAsia="仿宋" w:hAnsi="仿宋" w:cs="仿宋" w:hint="eastAsia"/>
                <w:sz w:val="32"/>
                <w:szCs w:val="32"/>
              </w:rPr>
              <w:t>1分/项</w:t>
            </w:r>
          </w:p>
        </w:tc>
      </w:tr>
      <w:tr w:rsidR="00AB3891" w:rsidTr="00890F1E">
        <w:tc>
          <w:tcPr>
            <w:tcW w:w="1215" w:type="dxa"/>
            <w:vAlign w:val="center"/>
          </w:tcPr>
          <w:p w:rsidR="00AB3891" w:rsidRDefault="00AB3891" w:rsidP="00890F1E">
            <w:pPr>
              <w:spacing w:line="600" w:lineRule="exact"/>
              <w:jc w:val="center"/>
              <w:rPr>
                <w:rFonts w:ascii="仿宋" w:eastAsia="仿宋" w:hAnsi="仿宋" w:cs="仿宋"/>
                <w:sz w:val="32"/>
                <w:szCs w:val="32"/>
              </w:rPr>
            </w:pPr>
            <w:r>
              <w:rPr>
                <w:rFonts w:ascii="仿宋" w:eastAsia="仿宋" w:hAnsi="仿宋" w:cs="仿宋" w:hint="eastAsia"/>
                <w:sz w:val="32"/>
                <w:szCs w:val="32"/>
              </w:rPr>
              <w:t>5</w:t>
            </w:r>
          </w:p>
        </w:tc>
        <w:tc>
          <w:tcPr>
            <w:tcW w:w="4230" w:type="dxa"/>
            <w:vAlign w:val="center"/>
          </w:tcPr>
          <w:p w:rsidR="00AB3891" w:rsidRDefault="00AB3891" w:rsidP="00890F1E">
            <w:pPr>
              <w:spacing w:line="600" w:lineRule="exact"/>
              <w:jc w:val="center"/>
              <w:rPr>
                <w:rFonts w:ascii="仿宋" w:eastAsia="仿宋" w:hAnsi="仿宋" w:cs="仿宋"/>
                <w:sz w:val="32"/>
                <w:szCs w:val="32"/>
              </w:rPr>
            </w:pPr>
            <w:r>
              <w:rPr>
                <w:rFonts w:ascii="仿宋" w:eastAsia="仿宋" w:hAnsi="仿宋" w:cs="仿宋" w:hint="eastAsia"/>
                <w:sz w:val="32"/>
                <w:szCs w:val="32"/>
              </w:rPr>
              <w:t>接受检查且未违法违规</w:t>
            </w:r>
          </w:p>
        </w:tc>
        <w:tc>
          <w:tcPr>
            <w:tcW w:w="3198" w:type="dxa"/>
            <w:vAlign w:val="center"/>
          </w:tcPr>
          <w:p w:rsidR="00AB3891" w:rsidRDefault="00AB3891" w:rsidP="00890F1E">
            <w:pPr>
              <w:spacing w:line="600" w:lineRule="exact"/>
              <w:jc w:val="center"/>
              <w:rPr>
                <w:rFonts w:ascii="仿宋" w:eastAsia="仿宋" w:hAnsi="仿宋" w:cs="仿宋"/>
                <w:sz w:val="32"/>
                <w:szCs w:val="32"/>
              </w:rPr>
            </w:pPr>
            <w:r>
              <w:rPr>
                <w:rFonts w:ascii="仿宋" w:eastAsia="仿宋" w:hAnsi="仿宋" w:cs="仿宋" w:hint="eastAsia"/>
                <w:sz w:val="32"/>
                <w:szCs w:val="32"/>
              </w:rPr>
              <w:t>0.5分/项</w:t>
            </w:r>
          </w:p>
        </w:tc>
      </w:tr>
    </w:tbl>
    <w:p w:rsidR="00AB3891" w:rsidRDefault="00AB3891" w:rsidP="00AB3891">
      <w:pPr>
        <w:spacing w:line="600" w:lineRule="exact"/>
        <w:ind w:firstLineChars="800" w:firstLine="2570"/>
        <w:rPr>
          <w:rFonts w:ascii="仿宋" w:eastAsia="仿宋" w:hAnsi="仿宋" w:cs="仿宋"/>
          <w:b/>
          <w:bCs/>
          <w:sz w:val="32"/>
          <w:szCs w:val="32"/>
        </w:rPr>
      </w:pPr>
      <w:r>
        <w:rPr>
          <w:rFonts w:ascii="仿宋" w:eastAsia="仿宋" w:hAnsi="仿宋" w:cs="仿宋" w:hint="eastAsia"/>
          <w:b/>
          <w:bCs/>
          <w:sz w:val="32"/>
          <w:szCs w:val="32"/>
        </w:rPr>
        <w:t>业务考核加分权重（表2）</w:t>
      </w:r>
    </w:p>
    <w:tbl>
      <w:tblPr>
        <w:tblStyle w:val="a9"/>
        <w:tblW w:w="0" w:type="auto"/>
        <w:tblInd w:w="303" w:type="dxa"/>
        <w:tblLook w:val="04A0" w:firstRow="1" w:lastRow="0" w:firstColumn="1" w:lastColumn="0" w:noHBand="0" w:noVBand="1"/>
      </w:tblPr>
      <w:tblGrid>
        <w:gridCol w:w="1215"/>
        <w:gridCol w:w="4230"/>
        <w:gridCol w:w="3198"/>
      </w:tblGrid>
      <w:tr w:rsidR="00AB3891" w:rsidTr="00890F1E">
        <w:tc>
          <w:tcPr>
            <w:tcW w:w="1215" w:type="dxa"/>
            <w:vAlign w:val="center"/>
          </w:tcPr>
          <w:p w:rsidR="00AB3891" w:rsidRDefault="00AB3891" w:rsidP="00890F1E">
            <w:pPr>
              <w:spacing w:line="600" w:lineRule="exact"/>
              <w:jc w:val="center"/>
              <w:rPr>
                <w:rFonts w:ascii="仿宋" w:eastAsia="仿宋" w:hAnsi="仿宋" w:cs="仿宋"/>
                <w:sz w:val="32"/>
                <w:szCs w:val="32"/>
              </w:rPr>
            </w:pPr>
            <w:r>
              <w:rPr>
                <w:rFonts w:ascii="仿宋" w:eastAsia="仿宋" w:hAnsi="仿宋" w:cs="仿宋" w:hint="eastAsia"/>
                <w:sz w:val="32"/>
                <w:szCs w:val="32"/>
              </w:rPr>
              <w:t>序号</w:t>
            </w:r>
          </w:p>
        </w:tc>
        <w:tc>
          <w:tcPr>
            <w:tcW w:w="4230" w:type="dxa"/>
            <w:vAlign w:val="center"/>
          </w:tcPr>
          <w:p w:rsidR="00AB3891" w:rsidRDefault="00AB3891" w:rsidP="00890F1E">
            <w:pPr>
              <w:spacing w:line="600" w:lineRule="exact"/>
              <w:jc w:val="center"/>
              <w:rPr>
                <w:rFonts w:ascii="仿宋" w:eastAsia="仿宋" w:hAnsi="仿宋" w:cs="仿宋"/>
                <w:sz w:val="32"/>
                <w:szCs w:val="32"/>
              </w:rPr>
            </w:pPr>
            <w:r>
              <w:rPr>
                <w:rFonts w:ascii="仿宋" w:eastAsia="仿宋" w:hAnsi="仿宋" w:cs="仿宋" w:hint="eastAsia"/>
                <w:sz w:val="32"/>
                <w:szCs w:val="32"/>
              </w:rPr>
              <w:t>代理项目加分（分）</w:t>
            </w:r>
          </w:p>
        </w:tc>
        <w:tc>
          <w:tcPr>
            <w:tcW w:w="3198" w:type="dxa"/>
            <w:vAlign w:val="center"/>
          </w:tcPr>
          <w:p w:rsidR="00AB3891" w:rsidRDefault="00AB3891" w:rsidP="00890F1E">
            <w:pPr>
              <w:spacing w:line="600" w:lineRule="exact"/>
              <w:jc w:val="center"/>
              <w:rPr>
                <w:rFonts w:ascii="仿宋" w:eastAsia="仿宋" w:hAnsi="仿宋" w:cs="仿宋"/>
                <w:sz w:val="32"/>
                <w:szCs w:val="32"/>
              </w:rPr>
            </w:pPr>
            <w:r>
              <w:rPr>
                <w:rFonts w:ascii="仿宋" w:eastAsia="仿宋" w:hAnsi="仿宋" w:cs="仿宋" w:hint="eastAsia"/>
                <w:sz w:val="32"/>
                <w:szCs w:val="32"/>
              </w:rPr>
              <w:t>加分比例</w:t>
            </w:r>
          </w:p>
        </w:tc>
      </w:tr>
      <w:tr w:rsidR="00AB3891" w:rsidTr="00890F1E">
        <w:tc>
          <w:tcPr>
            <w:tcW w:w="1215" w:type="dxa"/>
            <w:vAlign w:val="center"/>
          </w:tcPr>
          <w:p w:rsidR="00AB3891" w:rsidRDefault="00AB3891" w:rsidP="00890F1E">
            <w:pPr>
              <w:spacing w:line="600" w:lineRule="exact"/>
              <w:jc w:val="center"/>
              <w:rPr>
                <w:rFonts w:ascii="仿宋" w:eastAsia="仿宋" w:hAnsi="仿宋" w:cs="仿宋"/>
                <w:sz w:val="32"/>
                <w:szCs w:val="32"/>
              </w:rPr>
            </w:pPr>
            <w:r>
              <w:rPr>
                <w:rFonts w:ascii="仿宋" w:eastAsia="仿宋" w:hAnsi="仿宋" w:cs="仿宋" w:hint="eastAsia"/>
                <w:sz w:val="32"/>
                <w:szCs w:val="32"/>
              </w:rPr>
              <w:t>1</w:t>
            </w:r>
          </w:p>
        </w:tc>
        <w:tc>
          <w:tcPr>
            <w:tcW w:w="4230" w:type="dxa"/>
            <w:vAlign w:val="center"/>
          </w:tcPr>
          <w:p w:rsidR="00AB3891" w:rsidRDefault="00AB3891" w:rsidP="00890F1E">
            <w:pPr>
              <w:spacing w:line="600" w:lineRule="exact"/>
              <w:jc w:val="center"/>
              <w:rPr>
                <w:rFonts w:ascii="仿宋" w:eastAsia="仿宋" w:hAnsi="仿宋" w:cs="仿宋"/>
                <w:sz w:val="32"/>
                <w:szCs w:val="32"/>
              </w:rPr>
            </w:pPr>
            <w:r>
              <w:rPr>
                <w:rFonts w:ascii="仿宋" w:eastAsia="仿宋" w:hAnsi="仿宋" w:cs="仿宋" w:hint="eastAsia"/>
                <w:sz w:val="32"/>
                <w:szCs w:val="32"/>
              </w:rPr>
              <w:t>0-10（含）</w:t>
            </w:r>
          </w:p>
        </w:tc>
        <w:tc>
          <w:tcPr>
            <w:tcW w:w="3198" w:type="dxa"/>
            <w:vAlign w:val="center"/>
          </w:tcPr>
          <w:p w:rsidR="00AB3891" w:rsidRDefault="00AB3891" w:rsidP="00890F1E">
            <w:pPr>
              <w:spacing w:line="600" w:lineRule="exact"/>
              <w:jc w:val="center"/>
              <w:rPr>
                <w:rFonts w:ascii="仿宋" w:eastAsia="仿宋" w:hAnsi="仿宋" w:cs="仿宋"/>
                <w:sz w:val="32"/>
                <w:szCs w:val="32"/>
              </w:rPr>
            </w:pPr>
            <w:r>
              <w:rPr>
                <w:rFonts w:ascii="仿宋" w:eastAsia="仿宋" w:hAnsi="仿宋" w:cs="仿宋" w:hint="eastAsia"/>
                <w:sz w:val="32"/>
                <w:szCs w:val="32"/>
              </w:rPr>
              <w:t>1.0</w:t>
            </w:r>
          </w:p>
        </w:tc>
      </w:tr>
      <w:tr w:rsidR="00AB3891" w:rsidTr="00890F1E">
        <w:tc>
          <w:tcPr>
            <w:tcW w:w="1215" w:type="dxa"/>
            <w:vAlign w:val="center"/>
          </w:tcPr>
          <w:p w:rsidR="00AB3891" w:rsidRDefault="00AB3891" w:rsidP="00890F1E">
            <w:pPr>
              <w:spacing w:line="600" w:lineRule="exact"/>
              <w:jc w:val="center"/>
              <w:rPr>
                <w:rFonts w:ascii="仿宋" w:eastAsia="仿宋" w:hAnsi="仿宋" w:cs="仿宋"/>
                <w:sz w:val="32"/>
                <w:szCs w:val="32"/>
              </w:rPr>
            </w:pPr>
            <w:r>
              <w:rPr>
                <w:rFonts w:ascii="仿宋" w:eastAsia="仿宋" w:hAnsi="仿宋" w:cs="仿宋" w:hint="eastAsia"/>
                <w:sz w:val="32"/>
                <w:szCs w:val="32"/>
              </w:rPr>
              <w:t>2</w:t>
            </w:r>
          </w:p>
        </w:tc>
        <w:tc>
          <w:tcPr>
            <w:tcW w:w="4230" w:type="dxa"/>
            <w:vAlign w:val="center"/>
          </w:tcPr>
          <w:p w:rsidR="00AB3891" w:rsidRDefault="00AB3891" w:rsidP="00890F1E">
            <w:pPr>
              <w:spacing w:line="600" w:lineRule="exact"/>
              <w:jc w:val="center"/>
              <w:rPr>
                <w:rFonts w:ascii="仿宋" w:eastAsia="仿宋" w:hAnsi="仿宋" w:cs="仿宋"/>
                <w:sz w:val="32"/>
                <w:szCs w:val="32"/>
              </w:rPr>
            </w:pPr>
            <w:r>
              <w:rPr>
                <w:rFonts w:ascii="仿宋" w:eastAsia="仿宋" w:hAnsi="仿宋" w:cs="仿宋" w:hint="eastAsia"/>
                <w:sz w:val="32"/>
                <w:szCs w:val="32"/>
              </w:rPr>
              <w:t>10-20（含）</w:t>
            </w:r>
          </w:p>
        </w:tc>
        <w:tc>
          <w:tcPr>
            <w:tcW w:w="3198" w:type="dxa"/>
            <w:vAlign w:val="center"/>
          </w:tcPr>
          <w:p w:rsidR="00AB3891" w:rsidRDefault="00AB3891" w:rsidP="00890F1E">
            <w:pPr>
              <w:spacing w:line="600" w:lineRule="exact"/>
              <w:jc w:val="center"/>
              <w:rPr>
                <w:rFonts w:ascii="仿宋" w:eastAsia="仿宋" w:hAnsi="仿宋" w:cs="仿宋"/>
                <w:sz w:val="32"/>
                <w:szCs w:val="32"/>
              </w:rPr>
            </w:pPr>
            <w:r>
              <w:rPr>
                <w:rFonts w:ascii="仿宋" w:eastAsia="仿宋" w:hAnsi="仿宋" w:cs="仿宋" w:hint="eastAsia"/>
                <w:sz w:val="32"/>
                <w:szCs w:val="32"/>
              </w:rPr>
              <w:t>0.7</w:t>
            </w:r>
          </w:p>
        </w:tc>
      </w:tr>
      <w:tr w:rsidR="00AB3891" w:rsidTr="00890F1E">
        <w:tc>
          <w:tcPr>
            <w:tcW w:w="1215" w:type="dxa"/>
            <w:vAlign w:val="center"/>
          </w:tcPr>
          <w:p w:rsidR="00AB3891" w:rsidRDefault="00AB3891" w:rsidP="00890F1E">
            <w:pPr>
              <w:spacing w:line="600" w:lineRule="exact"/>
              <w:jc w:val="center"/>
              <w:rPr>
                <w:rFonts w:ascii="仿宋" w:eastAsia="仿宋" w:hAnsi="仿宋" w:cs="仿宋"/>
                <w:sz w:val="32"/>
                <w:szCs w:val="32"/>
              </w:rPr>
            </w:pPr>
            <w:r>
              <w:rPr>
                <w:rFonts w:ascii="仿宋" w:eastAsia="仿宋" w:hAnsi="仿宋" w:cs="仿宋" w:hint="eastAsia"/>
                <w:sz w:val="32"/>
                <w:szCs w:val="32"/>
              </w:rPr>
              <w:t>3</w:t>
            </w:r>
          </w:p>
        </w:tc>
        <w:tc>
          <w:tcPr>
            <w:tcW w:w="4230" w:type="dxa"/>
            <w:vAlign w:val="center"/>
          </w:tcPr>
          <w:p w:rsidR="00AB3891" w:rsidRDefault="00AB3891" w:rsidP="00890F1E">
            <w:pPr>
              <w:spacing w:line="600" w:lineRule="exact"/>
              <w:jc w:val="center"/>
              <w:rPr>
                <w:rFonts w:ascii="仿宋" w:eastAsia="仿宋" w:hAnsi="仿宋" w:cs="仿宋"/>
                <w:sz w:val="32"/>
                <w:szCs w:val="32"/>
              </w:rPr>
            </w:pPr>
            <w:r>
              <w:rPr>
                <w:rFonts w:ascii="仿宋" w:eastAsia="仿宋" w:hAnsi="仿宋" w:cs="仿宋" w:hint="eastAsia"/>
                <w:sz w:val="32"/>
                <w:szCs w:val="32"/>
              </w:rPr>
              <w:t>20-30（含）</w:t>
            </w:r>
          </w:p>
        </w:tc>
        <w:tc>
          <w:tcPr>
            <w:tcW w:w="3198" w:type="dxa"/>
            <w:vAlign w:val="center"/>
          </w:tcPr>
          <w:p w:rsidR="00AB3891" w:rsidRDefault="00AB3891" w:rsidP="00890F1E">
            <w:pPr>
              <w:spacing w:line="600" w:lineRule="exact"/>
              <w:jc w:val="center"/>
              <w:rPr>
                <w:rFonts w:ascii="仿宋" w:eastAsia="仿宋" w:hAnsi="仿宋" w:cs="仿宋"/>
                <w:sz w:val="32"/>
                <w:szCs w:val="32"/>
              </w:rPr>
            </w:pPr>
            <w:r>
              <w:rPr>
                <w:rFonts w:ascii="仿宋" w:eastAsia="仿宋" w:hAnsi="仿宋" w:cs="仿宋" w:hint="eastAsia"/>
                <w:sz w:val="32"/>
                <w:szCs w:val="32"/>
              </w:rPr>
              <w:t>0.5</w:t>
            </w:r>
          </w:p>
        </w:tc>
      </w:tr>
      <w:tr w:rsidR="00AB3891" w:rsidTr="00890F1E">
        <w:tc>
          <w:tcPr>
            <w:tcW w:w="1215" w:type="dxa"/>
            <w:vAlign w:val="center"/>
          </w:tcPr>
          <w:p w:rsidR="00AB3891" w:rsidRDefault="00AB3891" w:rsidP="00890F1E">
            <w:pPr>
              <w:spacing w:line="600" w:lineRule="exact"/>
              <w:jc w:val="center"/>
              <w:rPr>
                <w:rFonts w:ascii="仿宋" w:eastAsia="仿宋" w:hAnsi="仿宋" w:cs="仿宋"/>
                <w:sz w:val="32"/>
                <w:szCs w:val="32"/>
              </w:rPr>
            </w:pPr>
            <w:r>
              <w:rPr>
                <w:rFonts w:ascii="仿宋" w:eastAsia="仿宋" w:hAnsi="仿宋" w:cs="仿宋" w:hint="eastAsia"/>
                <w:sz w:val="32"/>
                <w:szCs w:val="32"/>
              </w:rPr>
              <w:t>4</w:t>
            </w:r>
          </w:p>
        </w:tc>
        <w:tc>
          <w:tcPr>
            <w:tcW w:w="4230" w:type="dxa"/>
            <w:vAlign w:val="center"/>
          </w:tcPr>
          <w:p w:rsidR="00AB3891" w:rsidRDefault="00AB3891" w:rsidP="00890F1E">
            <w:pPr>
              <w:spacing w:line="600" w:lineRule="exact"/>
              <w:jc w:val="center"/>
              <w:rPr>
                <w:rFonts w:ascii="仿宋" w:eastAsia="仿宋" w:hAnsi="仿宋" w:cs="仿宋"/>
                <w:sz w:val="32"/>
                <w:szCs w:val="32"/>
              </w:rPr>
            </w:pPr>
            <w:r>
              <w:rPr>
                <w:rFonts w:ascii="仿宋" w:eastAsia="仿宋" w:hAnsi="仿宋" w:cs="仿宋" w:hint="eastAsia"/>
                <w:sz w:val="32"/>
                <w:szCs w:val="32"/>
              </w:rPr>
              <w:t>30以上</w:t>
            </w:r>
          </w:p>
        </w:tc>
        <w:tc>
          <w:tcPr>
            <w:tcW w:w="3198" w:type="dxa"/>
            <w:vAlign w:val="center"/>
          </w:tcPr>
          <w:p w:rsidR="00AB3891" w:rsidRDefault="00AB3891" w:rsidP="00890F1E">
            <w:pPr>
              <w:spacing w:line="600" w:lineRule="exact"/>
              <w:jc w:val="center"/>
              <w:rPr>
                <w:rFonts w:ascii="仿宋" w:eastAsia="仿宋" w:hAnsi="仿宋" w:cs="仿宋"/>
                <w:sz w:val="32"/>
                <w:szCs w:val="32"/>
              </w:rPr>
            </w:pPr>
            <w:r>
              <w:rPr>
                <w:rFonts w:ascii="仿宋" w:eastAsia="仿宋" w:hAnsi="仿宋" w:cs="仿宋" w:hint="eastAsia"/>
                <w:sz w:val="32"/>
                <w:szCs w:val="32"/>
              </w:rPr>
              <w:t>0.2</w:t>
            </w:r>
          </w:p>
        </w:tc>
      </w:tr>
    </w:tbl>
    <w:p w:rsidR="00AB3891" w:rsidRDefault="00AB3891" w:rsidP="00AB3891">
      <w:pPr>
        <w:pStyle w:val="a8"/>
        <w:widowControl/>
        <w:shd w:val="clear" w:color="auto" w:fill="FFFFFF"/>
        <w:spacing w:before="0" w:beforeAutospacing="0" w:after="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根据考评对象完成代理项目情况和表1的加分标准计算得出项目加分值。代理项目加分值与加分权重相乘进行阶梯计分后得出业务考核加分。业务考核加分值直接计入综合考评总分。加分项目必须由考评对象完成，以实际在岗履职的代理项目负责人和一级注册造价工程师为据，否则不予认可。</w:t>
      </w:r>
    </w:p>
    <w:p w:rsidR="00AB3891" w:rsidRDefault="00AB3891" w:rsidP="00AB3891">
      <w:pPr>
        <w:pStyle w:val="a8"/>
        <w:widowControl/>
        <w:shd w:val="clear" w:color="auto" w:fill="FFFFFF"/>
        <w:spacing w:before="0" w:beforeAutospacing="0" w:after="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lastRenderedPageBreak/>
        <w:t>项目数量原则上以立项批文为准</w:t>
      </w:r>
      <w:r>
        <w:rPr>
          <w:rFonts w:ascii="仿宋" w:eastAsia="仿宋" w:hAnsi="仿宋" w:cs="仿宋" w:hint="eastAsia"/>
          <w:kern w:val="2"/>
          <w:sz w:val="32"/>
          <w:szCs w:val="32"/>
        </w:rPr>
        <w:t>，</w:t>
      </w:r>
      <w:r>
        <w:rPr>
          <w:rFonts w:ascii="仿宋" w:eastAsia="仿宋" w:hAnsi="仿宋" w:cs="仿宋" w:hint="eastAsia"/>
          <w:sz w:val="32"/>
          <w:szCs w:val="32"/>
        </w:rPr>
        <w:t>项目完成时间以完成书面情况报告时间为准；</w:t>
      </w:r>
      <w:r>
        <w:rPr>
          <w:rFonts w:ascii="仿宋" w:eastAsia="仿宋" w:hAnsi="仿宋" w:cs="仿宋" w:hint="eastAsia"/>
          <w:kern w:val="2"/>
          <w:sz w:val="32"/>
          <w:szCs w:val="32"/>
        </w:rPr>
        <w:t>限额以上单独立项项目的勘察、设计、监理和施工标段可独立计分；限额以上单独立项项目合理划分为多个标段，并由不同代理机构代理的，均予以认可；限额以上单独立项项目同一类招标内容划分为多个标段并由同一家代理机构代理的，原则上不重复加分，</w:t>
      </w:r>
      <w:r>
        <w:rPr>
          <w:rFonts w:ascii="仿宋" w:eastAsia="仿宋" w:hAnsi="仿宋" w:cs="仿宋" w:hint="eastAsia"/>
          <w:sz w:val="32"/>
          <w:szCs w:val="32"/>
        </w:rPr>
        <w:t>情况特殊的，</w:t>
      </w:r>
      <w:r>
        <w:rPr>
          <w:rFonts w:ascii="仿宋" w:eastAsia="仿宋" w:hAnsi="仿宋" w:cs="仿宋" w:hint="eastAsia"/>
          <w:kern w:val="2"/>
          <w:sz w:val="32"/>
          <w:szCs w:val="32"/>
        </w:rPr>
        <w:t>须</w:t>
      </w:r>
      <w:r>
        <w:rPr>
          <w:rFonts w:ascii="仿宋" w:eastAsia="仿宋" w:hAnsi="仿宋" w:cs="仿宋" w:hint="eastAsia"/>
          <w:sz w:val="32"/>
          <w:szCs w:val="32"/>
        </w:rPr>
        <w:t>由考评对象提出书面申请，并由</w:t>
      </w:r>
      <w:r>
        <w:rPr>
          <w:rFonts w:ascii="仿宋" w:eastAsia="仿宋" w:hAnsi="仿宋" w:cs="仿宋" w:hint="eastAsia"/>
          <w:kern w:val="2"/>
          <w:sz w:val="32"/>
          <w:szCs w:val="32"/>
        </w:rPr>
        <w:t>招标人出具标段划分合理性说明，经</w:t>
      </w:r>
      <w:r>
        <w:rPr>
          <w:rFonts w:ascii="仿宋" w:eastAsia="仿宋" w:hAnsi="仿宋" w:cs="仿宋" w:hint="eastAsia"/>
          <w:sz w:val="32"/>
          <w:szCs w:val="32"/>
        </w:rPr>
        <w:t>市建设工程招标办组织考评专家集体研究认定后，可以</w:t>
      </w:r>
      <w:r>
        <w:rPr>
          <w:rFonts w:ascii="仿宋" w:eastAsia="仿宋" w:hAnsi="仿宋" w:cs="仿宋" w:hint="eastAsia"/>
          <w:kern w:val="2"/>
          <w:sz w:val="32"/>
          <w:szCs w:val="32"/>
        </w:rPr>
        <w:t>按照下表的权重进行计分。</w:t>
      </w:r>
    </w:p>
    <w:tbl>
      <w:tblPr>
        <w:tblStyle w:val="a9"/>
        <w:tblW w:w="0" w:type="auto"/>
        <w:tblInd w:w="1106" w:type="dxa"/>
        <w:tblLook w:val="04A0" w:firstRow="1" w:lastRow="0" w:firstColumn="1" w:lastColumn="0" w:noHBand="0" w:noVBand="1"/>
      </w:tblPr>
      <w:tblGrid>
        <w:gridCol w:w="1200"/>
        <w:gridCol w:w="2984"/>
        <w:gridCol w:w="2521"/>
      </w:tblGrid>
      <w:tr w:rsidR="00AB3891" w:rsidTr="00890F1E">
        <w:tc>
          <w:tcPr>
            <w:tcW w:w="1200" w:type="dxa"/>
            <w:vAlign w:val="center"/>
          </w:tcPr>
          <w:p w:rsidR="00AB3891" w:rsidRDefault="00AB3891" w:rsidP="00890F1E">
            <w:pPr>
              <w:pStyle w:val="a8"/>
              <w:widowControl/>
              <w:spacing w:before="0" w:beforeAutospacing="0" w:after="0" w:afterAutospacing="0" w:line="600" w:lineRule="exact"/>
              <w:jc w:val="center"/>
              <w:rPr>
                <w:rFonts w:ascii="仿宋" w:eastAsia="仿宋" w:hAnsi="仿宋" w:cs="仿宋"/>
                <w:sz w:val="32"/>
                <w:szCs w:val="32"/>
              </w:rPr>
            </w:pPr>
            <w:r>
              <w:rPr>
                <w:rFonts w:ascii="仿宋" w:eastAsia="仿宋" w:hAnsi="仿宋" w:cs="仿宋" w:hint="eastAsia"/>
                <w:sz w:val="32"/>
                <w:szCs w:val="32"/>
              </w:rPr>
              <w:t>序号</w:t>
            </w:r>
          </w:p>
        </w:tc>
        <w:tc>
          <w:tcPr>
            <w:tcW w:w="2984" w:type="dxa"/>
            <w:vAlign w:val="center"/>
          </w:tcPr>
          <w:p w:rsidR="00AB3891" w:rsidRDefault="00AB3891" w:rsidP="00890F1E">
            <w:pPr>
              <w:pStyle w:val="a8"/>
              <w:widowControl/>
              <w:spacing w:before="0" w:beforeAutospacing="0" w:after="0" w:afterAutospacing="0" w:line="600" w:lineRule="exact"/>
              <w:jc w:val="center"/>
              <w:rPr>
                <w:rFonts w:ascii="仿宋" w:eastAsia="仿宋" w:hAnsi="仿宋" w:cs="仿宋"/>
                <w:sz w:val="32"/>
                <w:szCs w:val="32"/>
              </w:rPr>
            </w:pPr>
            <w:r>
              <w:rPr>
                <w:rFonts w:ascii="仿宋" w:eastAsia="仿宋" w:hAnsi="仿宋" w:cs="仿宋" w:hint="eastAsia"/>
                <w:sz w:val="32"/>
                <w:szCs w:val="32"/>
              </w:rPr>
              <w:t>标段</w:t>
            </w:r>
          </w:p>
        </w:tc>
        <w:tc>
          <w:tcPr>
            <w:tcW w:w="2521" w:type="dxa"/>
            <w:vAlign w:val="center"/>
          </w:tcPr>
          <w:p w:rsidR="00AB3891" w:rsidRDefault="00AB3891" w:rsidP="00890F1E">
            <w:pPr>
              <w:pStyle w:val="a8"/>
              <w:widowControl/>
              <w:spacing w:before="0" w:beforeAutospacing="0" w:after="0" w:afterAutospacing="0" w:line="600" w:lineRule="exact"/>
              <w:jc w:val="center"/>
              <w:rPr>
                <w:rFonts w:ascii="仿宋" w:eastAsia="仿宋" w:hAnsi="仿宋" w:cs="仿宋"/>
                <w:sz w:val="32"/>
                <w:szCs w:val="32"/>
              </w:rPr>
            </w:pPr>
            <w:r>
              <w:rPr>
                <w:rFonts w:ascii="仿宋" w:eastAsia="仿宋" w:hAnsi="仿宋" w:cs="仿宋" w:hint="eastAsia"/>
                <w:sz w:val="32"/>
                <w:szCs w:val="32"/>
              </w:rPr>
              <w:t>权重</w:t>
            </w:r>
          </w:p>
        </w:tc>
      </w:tr>
      <w:tr w:rsidR="00AB3891" w:rsidTr="00890F1E">
        <w:tc>
          <w:tcPr>
            <w:tcW w:w="1200" w:type="dxa"/>
            <w:vAlign w:val="center"/>
          </w:tcPr>
          <w:p w:rsidR="00AB3891" w:rsidRDefault="00AB3891" w:rsidP="00890F1E">
            <w:pPr>
              <w:pStyle w:val="a8"/>
              <w:widowControl/>
              <w:spacing w:before="0" w:beforeAutospacing="0" w:after="0" w:afterAutospacing="0" w:line="600" w:lineRule="exact"/>
              <w:jc w:val="center"/>
              <w:rPr>
                <w:rFonts w:ascii="仿宋" w:eastAsia="仿宋" w:hAnsi="仿宋" w:cs="仿宋"/>
                <w:sz w:val="32"/>
                <w:szCs w:val="32"/>
              </w:rPr>
            </w:pPr>
            <w:r>
              <w:rPr>
                <w:rFonts w:ascii="仿宋" w:eastAsia="仿宋" w:hAnsi="仿宋" w:cs="仿宋" w:hint="eastAsia"/>
                <w:sz w:val="32"/>
                <w:szCs w:val="32"/>
              </w:rPr>
              <w:t>1</w:t>
            </w:r>
          </w:p>
        </w:tc>
        <w:tc>
          <w:tcPr>
            <w:tcW w:w="2984" w:type="dxa"/>
            <w:vAlign w:val="center"/>
          </w:tcPr>
          <w:p w:rsidR="00AB3891" w:rsidRDefault="00AB3891" w:rsidP="00890F1E">
            <w:pPr>
              <w:pStyle w:val="a8"/>
              <w:widowControl/>
              <w:spacing w:before="0" w:beforeAutospacing="0" w:after="0" w:afterAutospacing="0" w:line="600" w:lineRule="exact"/>
              <w:jc w:val="center"/>
              <w:rPr>
                <w:rFonts w:ascii="仿宋" w:eastAsia="仿宋" w:hAnsi="仿宋" w:cs="仿宋"/>
                <w:sz w:val="32"/>
                <w:szCs w:val="32"/>
              </w:rPr>
            </w:pPr>
            <w:r>
              <w:rPr>
                <w:rFonts w:ascii="仿宋" w:eastAsia="仿宋" w:hAnsi="仿宋" w:cs="仿宋" w:hint="eastAsia"/>
                <w:sz w:val="32"/>
                <w:szCs w:val="32"/>
              </w:rPr>
              <w:t>第1个</w:t>
            </w:r>
          </w:p>
        </w:tc>
        <w:tc>
          <w:tcPr>
            <w:tcW w:w="2521" w:type="dxa"/>
            <w:vAlign w:val="center"/>
          </w:tcPr>
          <w:p w:rsidR="00AB3891" w:rsidRDefault="00AB3891" w:rsidP="00890F1E">
            <w:pPr>
              <w:pStyle w:val="a8"/>
              <w:widowControl/>
              <w:spacing w:before="0" w:beforeAutospacing="0" w:after="0" w:afterAutospacing="0" w:line="600" w:lineRule="exact"/>
              <w:jc w:val="center"/>
              <w:rPr>
                <w:rFonts w:ascii="仿宋" w:eastAsia="仿宋" w:hAnsi="仿宋" w:cs="仿宋"/>
                <w:sz w:val="32"/>
                <w:szCs w:val="32"/>
              </w:rPr>
            </w:pPr>
            <w:r>
              <w:rPr>
                <w:rFonts w:ascii="仿宋" w:eastAsia="仿宋" w:hAnsi="仿宋" w:cs="仿宋" w:hint="eastAsia"/>
                <w:sz w:val="32"/>
                <w:szCs w:val="32"/>
              </w:rPr>
              <w:t>1.0</w:t>
            </w:r>
          </w:p>
        </w:tc>
      </w:tr>
      <w:tr w:rsidR="00AB3891" w:rsidTr="00890F1E">
        <w:tc>
          <w:tcPr>
            <w:tcW w:w="1200" w:type="dxa"/>
            <w:vAlign w:val="center"/>
          </w:tcPr>
          <w:p w:rsidR="00AB3891" w:rsidRDefault="00AB3891" w:rsidP="00890F1E">
            <w:pPr>
              <w:pStyle w:val="a8"/>
              <w:widowControl/>
              <w:spacing w:before="0" w:beforeAutospacing="0" w:after="0" w:afterAutospacing="0" w:line="600" w:lineRule="exact"/>
              <w:jc w:val="center"/>
              <w:rPr>
                <w:rFonts w:ascii="仿宋" w:eastAsia="仿宋" w:hAnsi="仿宋" w:cs="仿宋"/>
                <w:sz w:val="32"/>
                <w:szCs w:val="32"/>
              </w:rPr>
            </w:pPr>
            <w:r>
              <w:rPr>
                <w:rFonts w:ascii="仿宋" w:eastAsia="仿宋" w:hAnsi="仿宋" w:cs="仿宋" w:hint="eastAsia"/>
                <w:sz w:val="32"/>
                <w:szCs w:val="32"/>
              </w:rPr>
              <w:t>2</w:t>
            </w:r>
          </w:p>
        </w:tc>
        <w:tc>
          <w:tcPr>
            <w:tcW w:w="2984" w:type="dxa"/>
            <w:vAlign w:val="center"/>
          </w:tcPr>
          <w:p w:rsidR="00AB3891" w:rsidRDefault="00AB3891" w:rsidP="00890F1E">
            <w:pPr>
              <w:pStyle w:val="a8"/>
              <w:widowControl/>
              <w:spacing w:before="0" w:beforeAutospacing="0" w:after="0" w:afterAutospacing="0" w:line="600" w:lineRule="exact"/>
              <w:jc w:val="center"/>
              <w:rPr>
                <w:rFonts w:ascii="仿宋" w:eastAsia="仿宋" w:hAnsi="仿宋" w:cs="仿宋"/>
                <w:sz w:val="32"/>
                <w:szCs w:val="32"/>
              </w:rPr>
            </w:pPr>
            <w:r>
              <w:rPr>
                <w:rFonts w:ascii="仿宋" w:eastAsia="仿宋" w:hAnsi="仿宋" w:cs="仿宋" w:hint="eastAsia"/>
                <w:sz w:val="32"/>
                <w:szCs w:val="32"/>
              </w:rPr>
              <w:t>第2个</w:t>
            </w:r>
          </w:p>
        </w:tc>
        <w:tc>
          <w:tcPr>
            <w:tcW w:w="2521" w:type="dxa"/>
            <w:vAlign w:val="center"/>
          </w:tcPr>
          <w:p w:rsidR="00AB3891" w:rsidRDefault="00AB3891" w:rsidP="00890F1E">
            <w:pPr>
              <w:pStyle w:val="a8"/>
              <w:widowControl/>
              <w:spacing w:before="0" w:beforeAutospacing="0" w:after="0" w:afterAutospacing="0" w:line="600" w:lineRule="exact"/>
              <w:jc w:val="center"/>
              <w:rPr>
                <w:rFonts w:ascii="仿宋" w:eastAsia="仿宋" w:hAnsi="仿宋" w:cs="仿宋"/>
                <w:sz w:val="32"/>
                <w:szCs w:val="32"/>
              </w:rPr>
            </w:pPr>
            <w:r>
              <w:rPr>
                <w:rFonts w:ascii="仿宋" w:eastAsia="仿宋" w:hAnsi="仿宋" w:cs="仿宋" w:hint="eastAsia"/>
                <w:sz w:val="32"/>
                <w:szCs w:val="32"/>
              </w:rPr>
              <w:t>0.5</w:t>
            </w:r>
          </w:p>
        </w:tc>
      </w:tr>
      <w:tr w:rsidR="00AB3891" w:rsidTr="00890F1E">
        <w:tc>
          <w:tcPr>
            <w:tcW w:w="1200" w:type="dxa"/>
            <w:vAlign w:val="center"/>
          </w:tcPr>
          <w:p w:rsidR="00AB3891" w:rsidRDefault="00AB3891" w:rsidP="00890F1E">
            <w:pPr>
              <w:pStyle w:val="a8"/>
              <w:widowControl/>
              <w:spacing w:before="0" w:beforeAutospacing="0" w:after="0" w:afterAutospacing="0" w:line="600" w:lineRule="exact"/>
              <w:jc w:val="center"/>
              <w:rPr>
                <w:rFonts w:ascii="仿宋" w:eastAsia="仿宋" w:hAnsi="仿宋" w:cs="仿宋"/>
                <w:sz w:val="32"/>
                <w:szCs w:val="32"/>
              </w:rPr>
            </w:pPr>
            <w:r>
              <w:rPr>
                <w:rFonts w:ascii="仿宋" w:eastAsia="仿宋" w:hAnsi="仿宋" w:cs="仿宋" w:hint="eastAsia"/>
                <w:sz w:val="32"/>
                <w:szCs w:val="32"/>
              </w:rPr>
              <w:t>3</w:t>
            </w:r>
          </w:p>
        </w:tc>
        <w:tc>
          <w:tcPr>
            <w:tcW w:w="2984" w:type="dxa"/>
            <w:vAlign w:val="center"/>
          </w:tcPr>
          <w:p w:rsidR="00AB3891" w:rsidRDefault="00AB3891" w:rsidP="00890F1E">
            <w:pPr>
              <w:pStyle w:val="a8"/>
              <w:widowControl/>
              <w:spacing w:before="0" w:beforeAutospacing="0" w:after="0" w:afterAutospacing="0" w:line="600" w:lineRule="exact"/>
              <w:jc w:val="center"/>
              <w:rPr>
                <w:rFonts w:ascii="仿宋" w:eastAsia="仿宋" w:hAnsi="仿宋" w:cs="仿宋"/>
                <w:sz w:val="32"/>
                <w:szCs w:val="32"/>
              </w:rPr>
            </w:pPr>
            <w:r>
              <w:rPr>
                <w:rFonts w:ascii="仿宋" w:eastAsia="仿宋" w:hAnsi="仿宋" w:cs="仿宋" w:hint="eastAsia"/>
                <w:sz w:val="32"/>
                <w:szCs w:val="32"/>
              </w:rPr>
              <w:t>第3个及更多</w:t>
            </w:r>
          </w:p>
        </w:tc>
        <w:tc>
          <w:tcPr>
            <w:tcW w:w="2521" w:type="dxa"/>
            <w:vAlign w:val="center"/>
          </w:tcPr>
          <w:p w:rsidR="00AB3891" w:rsidRDefault="00AB3891" w:rsidP="00890F1E">
            <w:pPr>
              <w:pStyle w:val="a8"/>
              <w:widowControl/>
              <w:spacing w:before="0" w:beforeAutospacing="0" w:after="0" w:afterAutospacing="0" w:line="600" w:lineRule="exact"/>
              <w:jc w:val="center"/>
              <w:rPr>
                <w:rFonts w:ascii="仿宋" w:eastAsia="仿宋" w:hAnsi="仿宋" w:cs="仿宋"/>
                <w:sz w:val="32"/>
                <w:szCs w:val="32"/>
              </w:rPr>
            </w:pPr>
            <w:r>
              <w:rPr>
                <w:rFonts w:ascii="仿宋" w:eastAsia="仿宋" w:hAnsi="仿宋" w:cs="仿宋" w:hint="eastAsia"/>
                <w:sz w:val="32"/>
                <w:szCs w:val="32"/>
              </w:rPr>
              <w:t xml:space="preserve">0.2    </w:t>
            </w:r>
          </w:p>
        </w:tc>
      </w:tr>
    </w:tbl>
    <w:p w:rsidR="00AB3891" w:rsidRDefault="00AB3891" w:rsidP="00AB389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根据</w:t>
      </w:r>
      <w:proofErr w:type="gramStart"/>
      <w:r>
        <w:rPr>
          <w:rFonts w:ascii="仿宋" w:eastAsia="仿宋" w:hAnsi="仿宋" w:cs="仿宋" w:hint="eastAsia"/>
          <w:sz w:val="32"/>
          <w:szCs w:val="32"/>
        </w:rPr>
        <w:t>国家发改委</w:t>
      </w:r>
      <w:proofErr w:type="gramEnd"/>
      <w:r>
        <w:rPr>
          <w:rFonts w:ascii="仿宋" w:eastAsia="仿宋" w:hAnsi="仿宋" w:cs="仿宋" w:hint="eastAsia"/>
          <w:sz w:val="32"/>
          <w:szCs w:val="32"/>
        </w:rPr>
        <w:t>关于依法必须公开招标项目的有关规定，不鼓励限额以下项目进入7.0系统交易，确有特殊情况的，经招标人书面申请且经监管部门同意，方可进入7.0系统交易，同时该项目须有单独立项方可计分，且一个立项批文只计一次分，每个限额以下进入7.0系统交易的项目，不论金额规模和类别，固定分值为0.3分。</w:t>
      </w:r>
    </w:p>
    <w:p w:rsidR="00AB3891" w:rsidRDefault="00AB3891" w:rsidP="00AB389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第七条 为深入贯彻落实上级党委政府和纪检监察系统关于工程招投标领域专项整治的工作部署和指示精神，进一步规范限额以下建设工程招投标活动，堵塞利益输送的漏洞，防范</w:t>
      </w:r>
      <w:r>
        <w:rPr>
          <w:rFonts w:ascii="仿宋" w:eastAsia="仿宋" w:hAnsi="仿宋" w:cs="仿宋" w:hint="eastAsia"/>
          <w:sz w:val="32"/>
          <w:szCs w:val="32"/>
        </w:rPr>
        <w:lastRenderedPageBreak/>
        <w:t>廉政风险，防止国有财产流失，鉴于我市招投标协会、各县区监管部门或有关部门已建立限额以下交易平台，为鼓励广大招标人和招标代理机构规范组织限额以下招投标活动，对于在市招投标协会和各县区监管部门或有关部门开发提供的交易平台规范履行招标程序的建设工程项目，每一个项目分别加0.3和0.2分，相关计分规则和认定方法参照限额以上项目，此项最高加10分。</w:t>
      </w:r>
    </w:p>
    <w:p w:rsidR="00AB3891" w:rsidRDefault="00AB3891" w:rsidP="00AB389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第八条 考评对象的工作人员参加我省、我市建设工程招投标监管部门或我省建设监理与招投标协会、我市招标投标协会组织的业务培训的，线下每人次加0.3分，线上每人次加0.1分，最高加3分。</w:t>
      </w:r>
    </w:p>
    <w:p w:rsidR="00AB3891" w:rsidRDefault="00AB3891" w:rsidP="00AB389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第九条 考评对象人员参加省建设工程招投标业务考试，成绩达到85分的每人加0.3分，达到95分的每人加0.5分；单位平均成绩达95分的额外加1分，本项最高加4分。</w:t>
      </w:r>
    </w:p>
    <w:p w:rsidR="00AB3891" w:rsidRDefault="00AB3891" w:rsidP="00AB389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第十条 考评对象担任我省、我市行业协会或监管部门组织的业务培训主讲、参与我省、我市行业主管部门组织的监督检查（包括但不限于双随机</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公开、合</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指导、专项整治等）活动的，县区级每人次加0.5分，市级每人次加1分，省级及以上每人次加1.5分，最高加3分。</w:t>
      </w:r>
    </w:p>
    <w:p w:rsidR="00AB3891" w:rsidRDefault="00AB3891" w:rsidP="00AB3891">
      <w:pPr>
        <w:spacing w:line="600" w:lineRule="exact"/>
        <w:jc w:val="center"/>
        <w:rPr>
          <w:rFonts w:ascii="仿宋" w:eastAsia="仿宋" w:hAnsi="仿宋" w:cs="仿宋"/>
          <w:b/>
          <w:bCs/>
          <w:sz w:val="32"/>
          <w:szCs w:val="32"/>
        </w:rPr>
      </w:pPr>
      <w:r>
        <w:rPr>
          <w:rFonts w:ascii="仿宋" w:eastAsia="仿宋" w:hAnsi="仿宋" w:cs="仿宋" w:hint="eastAsia"/>
          <w:b/>
          <w:bCs/>
          <w:sz w:val="32"/>
          <w:szCs w:val="32"/>
        </w:rPr>
        <w:t>第三章 减分</w:t>
      </w:r>
    </w:p>
    <w:p w:rsidR="00AB3891" w:rsidRDefault="00AB3891" w:rsidP="00AB389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第十一条 考评对象代理项目负责人在招标文件备案、开评标和争议处理过程无正当理由未到岗履职，或虽到岗，但经</w:t>
      </w:r>
      <w:r>
        <w:rPr>
          <w:rFonts w:ascii="仿宋" w:eastAsia="仿宋" w:hAnsi="仿宋" w:cs="仿宋" w:hint="eastAsia"/>
          <w:sz w:val="32"/>
          <w:szCs w:val="32"/>
        </w:rPr>
        <w:lastRenderedPageBreak/>
        <w:t>监管人员问询对相关业务不了解的，每人次减0.5分。</w:t>
      </w:r>
    </w:p>
    <w:p w:rsidR="00AB3891" w:rsidRDefault="00AB3891" w:rsidP="00AB389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代理合同中载明负责招标文件（招标公告）编制（发布）的代理项目组人员，经监管人员问询对相关业务不了解的，每人次减0.5分。</w:t>
      </w:r>
    </w:p>
    <w:p w:rsidR="00AB3891" w:rsidRDefault="00AB3891" w:rsidP="00AB389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第十二条 考评对象人员报名参加省市监管部门组织的业务知识考试后，无故不参加考试的，每人次减0.2分；省市监管部门组织的监督执法检查中发现违法违规行为，经督促仍未限期整改到位的，每项次减0.5分。</w:t>
      </w:r>
    </w:p>
    <w:p w:rsidR="00AB3891" w:rsidRDefault="00AB3891" w:rsidP="00AB389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第十三条 考评对象不得低于成本承接进场交易建设工程招标代理业务。承接价格低于《江苏省招标代理服务收费指导意见》（</w:t>
      </w:r>
      <w:proofErr w:type="gramStart"/>
      <w:r>
        <w:rPr>
          <w:rFonts w:ascii="仿宋" w:eastAsia="仿宋" w:hAnsi="仿宋" w:cs="仿宋" w:hint="eastAsia"/>
          <w:sz w:val="32"/>
          <w:szCs w:val="32"/>
        </w:rPr>
        <w:t>苏招协</w:t>
      </w:r>
      <w:proofErr w:type="gramEnd"/>
      <w:r>
        <w:rPr>
          <w:rFonts w:ascii="仿宋" w:eastAsia="仿宋" w:hAnsi="仿宋" w:cs="仿宋" w:hint="eastAsia"/>
          <w:sz w:val="32"/>
          <w:szCs w:val="32"/>
        </w:rPr>
        <w:t>〔2022〕002号）所定标准30%的，须提供该标段代理费用不低于成本的合理性书面说明，不提供书面说明或无法说明合理性的，视为低于成本价恶性竞争，扰乱市场秩序，每个标段根据情节严重程度酌情减0.5-1.5分；实行零元报价恶性竞争获取代理项目的，每个标段减2分。</w:t>
      </w:r>
    </w:p>
    <w:p w:rsidR="00AB3891" w:rsidRDefault="00AB3891" w:rsidP="00AB389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第十四条 考评对象代理的项目产生投诉，经监管部门处理认定投诉成立且属考评对象责任的，每项次视情节严重程度减3-5分。</w:t>
      </w:r>
    </w:p>
    <w:p w:rsidR="00AB3891" w:rsidRDefault="00AB3891" w:rsidP="00AB389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考评对象代理的项目产生越级信访或网络媒体曝光事件，经监管部门核实属于考评对象原因导致的，每项次视情节严重程度减3-5分。</w:t>
      </w:r>
    </w:p>
    <w:p w:rsidR="00AB3891" w:rsidRDefault="00AB3891" w:rsidP="00AB389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第十五条 考评对象对监管部门依法开展的监督执法工作</w:t>
      </w:r>
      <w:r>
        <w:rPr>
          <w:rFonts w:ascii="仿宋" w:eastAsia="仿宋" w:hAnsi="仿宋" w:cs="仿宋" w:hint="eastAsia"/>
          <w:sz w:val="32"/>
          <w:szCs w:val="32"/>
        </w:rPr>
        <w:lastRenderedPageBreak/>
        <w:t>有抵触、抗拒、逃避或其它不配合行为的，视情节严重程度减1-3分。</w:t>
      </w:r>
    </w:p>
    <w:p w:rsidR="00AB3891" w:rsidRDefault="00AB3891" w:rsidP="00AB389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考评对象相关人员明知或应当知道监管部门将开展与其有关的监督执法工作，仍发生下列情形之一的，可按本条规定处理：</w:t>
      </w:r>
    </w:p>
    <w:p w:rsidR="00AB3891" w:rsidRDefault="00AB3891" w:rsidP="00AB389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（一）工作时间拨打其电话（手机）2次以上，均为关机或无法接通，事后又无法给出合理解释的；</w:t>
      </w:r>
    </w:p>
    <w:p w:rsidR="00AB3891" w:rsidRDefault="00AB3891" w:rsidP="00AB389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（二）约定谈话的时间、地点、人员或送达资料的具体要求后，无故爽约的；</w:t>
      </w:r>
    </w:p>
    <w:p w:rsidR="00AB3891" w:rsidRDefault="00AB3891" w:rsidP="00AB389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（三）对监管部门发出的监督文书无故不予接收的；</w:t>
      </w:r>
    </w:p>
    <w:p w:rsidR="00AB3891" w:rsidRDefault="00AB3891" w:rsidP="00AB389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（四）对监管部门书面问询的事项不予正面答复或不在规定时间内答复的；</w:t>
      </w:r>
    </w:p>
    <w:p w:rsidR="00AB3891" w:rsidRDefault="00AB3891" w:rsidP="00AB389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（五）相关人员因种种原因无法配合监督执法，又不及时安排其它了解情况的人员配合工作的；</w:t>
      </w:r>
    </w:p>
    <w:p w:rsidR="00AB3891" w:rsidRDefault="00AB3891" w:rsidP="00AB389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（六）有其它依法依规应当配合而不配合行为的。</w:t>
      </w:r>
    </w:p>
    <w:p w:rsidR="00AB3891" w:rsidRDefault="00AB3891" w:rsidP="00AB3891">
      <w:pPr>
        <w:spacing w:line="600" w:lineRule="exact"/>
        <w:jc w:val="center"/>
        <w:rPr>
          <w:rFonts w:ascii="仿宋" w:eastAsia="仿宋" w:hAnsi="仿宋" w:cs="仿宋"/>
          <w:b/>
          <w:bCs/>
          <w:sz w:val="32"/>
          <w:szCs w:val="32"/>
        </w:rPr>
      </w:pPr>
      <w:r>
        <w:rPr>
          <w:rFonts w:ascii="仿宋" w:eastAsia="仿宋" w:hAnsi="仿宋" w:cs="仿宋" w:hint="eastAsia"/>
          <w:b/>
          <w:bCs/>
          <w:sz w:val="32"/>
          <w:szCs w:val="32"/>
        </w:rPr>
        <w:t>第四章 惩戒</w:t>
      </w:r>
    </w:p>
    <w:p w:rsidR="00AB3891" w:rsidRDefault="00AB3891" w:rsidP="00AB389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第十六条 考评对象被查实有严重招投标违法违规行为或恶意对抗监管情形的，除依法依规处理外，该计分周期实际经营行为考评分值的加分总数直接清零。</w:t>
      </w:r>
    </w:p>
    <w:p w:rsidR="00AB3891" w:rsidRDefault="00AB3891" w:rsidP="00AB389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考评对象被惩戒导致加分清零的，其减分不受影响。</w:t>
      </w:r>
    </w:p>
    <w:p w:rsidR="00AB3891" w:rsidRDefault="00AB3891" w:rsidP="00AB389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第十七条 下列情形属于第十五条规定的严重招投标违法违规行为：</w:t>
      </w:r>
      <w:r>
        <w:rPr>
          <w:rFonts w:ascii="仿宋" w:eastAsia="仿宋" w:hAnsi="仿宋" w:cs="仿宋" w:hint="eastAsia"/>
          <w:sz w:val="32"/>
          <w:szCs w:val="32"/>
        </w:rPr>
        <w:br/>
      </w:r>
      <w:r>
        <w:rPr>
          <w:rFonts w:ascii="仿宋" w:eastAsia="仿宋" w:hAnsi="仿宋" w:cs="仿宋" w:hint="eastAsia"/>
          <w:sz w:val="32"/>
          <w:szCs w:val="32"/>
        </w:rPr>
        <w:lastRenderedPageBreak/>
        <w:t xml:space="preserve">    （一）考评所提供资料、信息、数据弄虚作假的；</w:t>
      </w:r>
    </w:p>
    <w:p w:rsidR="00AB3891" w:rsidRDefault="00AB3891" w:rsidP="00AB389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（二）考评对象或其代理项目组主要人员</w:t>
      </w:r>
      <w:proofErr w:type="gramStart"/>
      <w:r>
        <w:rPr>
          <w:rFonts w:ascii="仿宋" w:eastAsia="仿宋" w:hAnsi="仿宋" w:cs="仿宋" w:hint="eastAsia"/>
          <w:sz w:val="32"/>
          <w:szCs w:val="32"/>
        </w:rPr>
        <w:t>发生省</w:t>
      </w:r>
      <w:proofErr w:type="gramEnd"/>
      <w:r>
        <w:rPr>
          <w:rFonts w:ascii="仿宋" w:eastAsia="仿宋" w:hAnsi="仿宋" w:cs="仿宋" w:hint="eastAsia"/>
          <w:sz w:val="32"/>
          <w:szCs w:val="32"/>
        </w:rPr>
        <w:t>动态考评办法规定的“严重失信行为”的；</w:t>
      </w:r>
    </w:p>
    <w:p w:rsidR="00AB3891" w:rsidRDefault="00AB3891" w:rsidP="00AB389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（三）依据《中华人民共和国招标投标法》《中华人民共和国招标投标法实施条例》和《江苏省招标投标条例》，考评对象或其代理项目组主要人员应当被给予行政处罚的；</w:t>
      </w:r>
    </w:p>
    <w:p w:rsidR="00AB3891" w:rsidRDefault="00AB3891" w:rsidP="00AB389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（四）考评对象法定代表人或实际主要负责人因发生招投标违法行为被追究刑事责任的；</w:t>
      </w:r>
    </w:p>
    <w:p w:rsidR="00AB3891" w:rsidRDefault="00AB3891" w:rsidP="00AB389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（五）其它依法依规应当认定为严重违法违规行为的。</w:t>
      </w:r>
    </w:p>
    <w:p w:rsidR="00AB3891" w:rsidRDefault="00AB3891" w:rsidP="00AB389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第十八条 下列情形属于第十五条规定的恶意对抗监管：</w:t>
      </w:r>
    </w:p>
    <w:p w:rsidR="00AB3891" w:rsidRDefault="00AB3891" w:rsidP="00AB389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（一）因不满监管部门依法开展的监督执法，对监管人员进行辱骂、威胁、殴打、诬告的；</w:t>
      </w:r>
    </w:p>
    <w:p w:rsidR="00AB3891" w:rsidRDefault="00AB3891" w:rsidP="00AB389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（二）对监管部门的监督执法过程或结果持不同意见，但不通过正常渠道表达诉求，而是组织、串联、鼓动相关主体、人员集聚滋事或向媒体发布不实信息的；</w:t>
      </w:r>
    </w:p>
    <w:p w:rsidR="00AB3891" w:rsidRDefault="00AB3891" w:rsidP="00AB3891">
      <w:pPr>
        <w:spacing w:line="600" w:lineRule="exact"/>
        <w:ind w:firstLine="640"/>
        <w:rPr>
          <w:rFonts w:ascii="仿宋" w:eastAsia="仿宋" w:hAnsi="仿宋" w:cs="仿宋"/>
          <w:sz w:val="32"/>
          <w:szCs w:val="32"/>
        </w:rPr>
      </w:pPr>
      <w:r>
        <w:rPr>
          <w:rFonts w:ascii="仿宋" w:eastAsia="仿宋" w:hAnsi="仿宋" w:cs="仿宋" w:hint="eastAsia"/>
          <w:sz w:val="32"/>
          <w:szCs w:val="32"/>
        </w:rPr>
        <w:t>（三）无正当理由对行政部门依法发出的《行政监督意见书》或《投诉处理决定书》不予执行，经督促仍不改正的；</w:t>
      </w:r>
    </w:p>
    <w:p w:rsidR="00AB3891" w:rsidRDefault="00AB3891" w:rsidP="00AB3891">
      <w:pPr>
        <w:spacing w:line="600" w:lineRule="exact"/>
        <w:ind w:firstLine="640"/>
        <w:rPr>
          <w:rFonts w:ascii="仿宋" w:eastAsia="仿宋" w:hAnsi="仿宋" w:cs="仿宋"/>
          <w:sz w:val="32"/>
          <w:szCs w:val="32"/>
        </w:rPr>
      </w:pPr>
      <w:r>
        <w:rPr>
          <w:rFonts w:ascii="仿宋" w:eastAsia="仿宋" w:hAnsi="仿宋" w:cs="仿宋" w:hint="eastAsia"/>
          <w:sz w:val="32"/>
          <w:szCs w:val="32"/>
        </w:rPr>
        <w:t>（四）其它依法依规可以认定为恶意对抗监管情形。</w:t>
      </w:r>
    </w:p>
    <w:p w:rsidR="00AB3891" w:rsidRDefault="00AB3891" w:rsidP="00AB3891">
      <w:pPr>
        <w:spacing w:line="600" w:lineRule="exact"/>
        <w:jc w:val="center"/>
        <w:rPr>
          <w:rFonts w:ascii="仿宋" w:eastAsia="仿宋" w:hAnsi="仿宋" w:cs="仿宋"/>
          <w:b/>
          <w:bCs/>
          <w:sz w:val="32"/>
          <w:szCs w:val="32"/>
        </w:rPr>
      </w:pPr>
      <w:r>
        <w:rPr>
          <w:rFonts w:ascii="仿宋" w:eastAsia="仿宋" w:hAnsi="仿宋" w:cs="仿宋" w:hint="eastAsia"/>
          <w:b/>
          <w:bCs/>
          <w:sz w:val="32"/>
          <w:szCs w:val="32"/>
        </w:rPr>
        <w:t>第五章 附则</w:t>
      </w:r>
    </w:p>
    <w:p w:rsidR="00AB3891" w:rsidRDefault="00AB3891" w:rsidP="00AB389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第十九条 本细则中“以上”、“以内”等均包含本数。</w:t>
      </w:r>
    </w:p>
    <w:p w:rsidR="00AB3891" w:rsidRDefault="00AB3891" w:rsidP="00AB389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第二十条 考评对象违法</w:t>
      </w:r>
      <w:proofErr w:type="gramStart"/>
      <w:r>
        <w:rPr>
          <w:rFonts w:ascii="仿宋" w:eastAsia="仿宋" w:hAnsi="仿宋" w:cs="仿宋" w:hint="eastAsia"/>
          <w:sz w:val="32"/>
          <w:szCs w:val="32"/>
        </w:rPr>
        <w:t>违规且依据</w:t>
      </w:r>
      <w:proofErr w:type="gramEnd"/>
      <w:r>
        <w:rPr>
          <w:rFonts w:ascii="仿宋" w:eastAsia="仿宋" w:hAnsi="仿宋" w:cs="仿宋" w:hint="eastAsia"/>
          <w:sz w:val="32"/>
          <w:szCs w:val="32"/>
        </w:rPr>
        <w:t>本细则应予以减分或惩戒的，依法依规</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的处理不影响对其施以综合考评减分或</w:t>
      </w:r>
      <w:r>
        <w:rPr>
          <w:rFonts w:ascii="仿宋" w:eastAsia="仿宋" w:hAnsi="仿宋" w:cs="仿宋" w:hint="eastAsia"/>
          <w:sz w:val="32"/>
          <w:szCs w:val="32"/>
        </w:rPr>
        <w:lastRenderedPageBreak/>
        <w:t>惩戒。反之亦然。</w:t>
      </w:r>
    </w:p>
    <w:p w:rsidR="00AB3891" w:rsidRDefault="00AB3891" w:rsidP="00AB389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第二十一条 本细则规定的监督检查可适用分类监管，可以按照苏建</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字〔2017〕1号文件等规定采取“双随机、</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公开”的方式进行事中事后检查，检查结果可作为考核评价的根据。</w:t>
      </w:r>
    </w:p>
    <w:p w:rsidR="00AB3891" w:rsidRDefault="00AB3891" w:rsidP="00AB3891">
      <w:pPr>
        <w:rPr>
          <w:rFonts w:ascii="仿宋" w:eastAsia="仿宋" w:hAnsi="仿宋" w:cs="仿宋"/>
          <w:sz w:val="32"/>
          <w:szCs w:val="32"/>
        </w:rPr>
      </w:pPr>
      <w:r>
        <w:rPr>
          <w:rFonts w:ascii="仿宋" w:eastAsia="仿宋" w:hAnsi="仿宋" w:cs="仿宋" w:hint="eastAsia"/>
          <w:sz w:val="32"/>
          <w:szCs w:val="32"/>
        </w:rPr>
        <w:br w:type="page"/>
      </w:r>
    </w:p>
    <w:p w:rsidR="00AB3891" w:rsidRDefault="00AB3891" w:rsidP="00AB3891">
      <w:pPr>
        <w:spacing w:line="600" w:lineRule="exact"/>
        <w:rPr>
          <w:rFonts w:ascii="方正黑体_GBK" w:eastAsia="方正黑体_GBK" w:hAnsi="仿宋" w:cs="仿宋"/>
          <w:sz w:val="32"/>
          <w:szCs w:val="32"/>
        </w:rPr>
      </w:pPr>
      <w:r>
        <w:rPr>
          <w:rFonts w:ascii="方正黑体_GBK" w:eastAsia="方正黑体_GBK" w:hAnsi="仿宋" w:cs="仿宋" w:hint="eastAsia"/>
          <w:sz w:val="32"/>
          <w:szCs w:val="32"/>
        </w:rPr>
        <w:lastRenderedPageBreak/>
        <w:t>附件3</w:t>
      </w:r>
    </w:p>
    <w:p w:rsidR="00AB3891" w:rsidRDefault="00AB3891" w:rsidP="00AB3891">
      <w:pPr>
        <w:spacing w:line="600" w:lineRule="exact"/>
        <w:rPr>
          <w:rFonts w:ascii="方正黑体_GBK" w:eastAsia="方正黑体_GBK" w:hAnsi="仿宋" w:cs="仿宋"/>
          <w:sz w:val="32"/>
          <w:szCs w:val="32"/>
        </w:rPr>
      </w:pPr>
    </w:p>
    <w:p w:rsidR="00AB3891" w:rsidRDefault="00AB3891" w:rsidP="00AB3891">
      <w:pPr>
        <w:spacing w:line="600" w:lineRule="exact"/>
        <w:jc w:val="center"/>
        <w:rPr>
          <w:rFonts w:ascii="方正小标宋简体" w:eastAsia="方正小标宋简体" w:hAnsi="仿宋" w:cs="仿宋"/>
          <w:sz w:val="44"/>
          <w:szCs w:val="44"/>
        </w:rPr>
      </w:pPr>
      <w:r>
        <w:rPr>
          <w:rFonts w:ascii="方正小标宋简体" w:eastAsia="方正小标宋简体" w:hAnsi="仿宋" w:cs="仿宋" w:hint="eastAsia"/>
          <w:sz w:val="44"/>
          <w:szCs w:val="44"/>
        </w:rPr>
        <w:t>其他综合表现情况计分细则</w:t>
      </w:r>
    </w:p>
    <w:p w:rsidR="00AB3891" w:rsidRDefault="00AB3891" w:rsidP="00AB3891">
      <w:pPr>
        <w:pStyle w:val="a8"/>
        <w:widowControl/>
        <w:shd w:val="clear" w:color="auto" w:fill="FFFFFF"/>
        <w:spacing w:beforeLines="100" w:before="312" w:beforeAutospacing="0" w:after="0" w:afterAutospacing="0"/>
        <w:ind w:firstLineChars="200" w:firstLine="640"/>
        <w:jc w:val="both"/>
        <w:rPr>
          <w:rFonts w:ascii="仿宋" w:eastAsia="仿宋" w:hAnsi="仿宋" w:cs="仿宋"/>
          <w:sz w:val="32"/>
          <w:szCs w:val="32"/>
        </w:rPr>
      </w:pPr>
      <w:r>
        <w:rPr>
          <w:rFonts w:ascii="仿宋" w:eastAsia="仿宋" w:hAnsi="仿宋" w:cs="仿宋" w:hint="eastAsia"/>
          <w:sz w:val="32"/>
          <w:szCs w:val="32"/>
        </w:rPr>
        <w:t>本项评价内容包括代理机构的党建工作、行业信用评价情况、行业自律评价、社会责任履行和公益慈善情况、响应主管部门或行业协会组织的活动情况、参与行业共建以及其他与招投标行业建设有关的活动、荣誉和贡献等，具体计分方法如下：</w:t>
      </w:r>
    </w:p>
    <w:p w:rsidR="00AB3891" w:rsidRDefault="00AB3891" w:rsidP="00AB3891">
      <w:pPr>
        <w:ind w:firstLineChars="200" w:firstLine="640"/>
        <w:rPr>
          <w:rFonts w:ascii="仿宋" w:eastAsia="仿宋" w:hAnsi="仿宋" w:cs="仿宋"/>
          <w:kern w:val="0"/>
          <w:sz w:val="32"/>
          <w:szCs w:val="32"/>
        </w:rPr>
      </w:pPr>
      <w:r>
        <w:rPr>
          <w:rFonts w:ascii="仿宋" w:eastAsia="仿宋" w:hAnsi="仿宋" w:cs="仿宋" w:hint="eastAsia"/>
          <w:sz w:val="32"/>
          <w:szCs w:val="32"/>
        </w:rPr>
        <w:t>第一条 考评对象积极</w:t>
      </w:r>
      <w:r>
        <w:rPr>
          <w:rFonts w:ascii="仿宋" w:eastAsia="仿宋" w:hAnsi="仿宋" w:cs="仿宋" w:hint="eastAsia"/>
          <w:kern w:val="0"/>
          <w:sz w:val="32"/>
          <w:szCs w:val="32"/>
        </w:rPr>
        <w:t>参与省招标代理信用评价，获评“AAA”等级的加2分，“AA”等级的加1.5分，“A”等级的加1分。</w:t>
      </w:r>
    </w:p>
    <w:p w:rsidR="00AB3891" w:rsidRDefault="00AB3891" w:rsidP="00AB3891">
      <w:pPr>
        <w:ind w:firstLineChars="200" w:firstLine="640"/>
        <w:rPr>
          <w:rFonts w:ascii="仿宋" w:eastAsia="仿宋" w:hAnsi="仿宋" w:cs="仿宋"/>
          <w:sz w:val="32"/>
          <w:szCs w:val="32"/>
        </w:rPr>
      </w:pPr>
      <w:r>
        <w:rPr>
          <w:rFonts w:ascii="仿宋" w:eastAsia="仿宋" w:hAnsi="仿宋" w:cs="仿宋" w:hint="eastAsia"/>
          <w:sz w:val="32"/>
          <w:szCs w:val="32"/>
        </w:rPr>
        <w:t>第二条 考评对象设有党组织（含联合党支部等）</w:t>
      </w:r>
      <w:proofErr w:type="gramStart"/>
      <w:r>
        <w:rPr>
          <w:rFonts w:ascii="仿宋" w:eastAsia="仿宋" w:hAnsi="仿宋" w:cs="仿宋" w:hint="eastAsia"/>
          <w:sz w:val="32"/>
          <w:szCs w:val="32"/>
        </w:rPr>
        <w:t>且正常</w:t>
      </w:r>
      <w:proofErr w:type="gramEnd"/>
      <w:r>
        <w:rPr>
          <w:rFonts w:ascii="仿宋" w:eastAsia="仿宋" w:hAnsi="仿宋" w:cs="仿宋" w:hint="eastAsia"/>
          <w:sz w:val="32"/>
          <w:szCs w:val="32"/>
        </w:rPr>
        <w:t>开展党内活动的加1分；本单位没有建立党组织，但党员经单位所在地党组织证明正常参加属地日常党组织活动的，可以加0.5分。本项最多加1分。</w:t>
      </w:r>
    </w:p>
    <w:p w:rsidR="00AB3891" w:rsidRDefault="00AB3891" w:rsidP="00AB3891">
      <w:pPr>
        <w:ind w:firstLineChars="200" w:firstLine="640"/>
        <w:rPr>
          <w:rFonts w:ascii="仿宋" w:eastAsia="仿宋" w:hAnsi="仿宋" w:cs="仿宋"/>
          <w:sz w:val="32"/>
          <w:szCs w:val="32"/>
        </w:rPr>
      </w:pPr>
      <w:r>
        <w:rPr>
          <w:rFonts w:ascii="仿宋" w:eastAsia="仿宋" w:hAnsi="仿宋" w:cs="仿宋" w:hint="eastAsia"/>
          <w:sz w:val="32"/>
          <w:szCs w:val="32"/>
        </w:rPr>
        <w:t>第三条 考评对象积极响应行业监管部门或行业协会党组织号召，主动参加</w:t>
      </w:r>
      <w:proofErr w:type="gramStart"/>
      <w:r>
        <w:rPr>
          <w:rFonts w:ascii="仿宋" w:eastAsia="仿宋" w:hAnsi="仿宋" w:cs="仿宋" w:hint="eastAsia"/>
          <w:sz w:val="32"/>
          <w:szCs w:val="32"/>
        </w:rPr>
        <w:t>集体党建</w:t>
      </w:r>
      <w:proofErr w:type="gramEnd"/>
      <w:r>
        <w:rPr>
          <w:rFonts w:ascii="仿宋" w:eastAsia="仿宋" w:hAnsi="仿宋" w:cs="仿宋" w:hint="eastAsia"/>
          <w:sz w:val="32"/>
          <w:szCs w:val="32"/>
        </w:rPr>
        <w:t>活动或重大业务研讨活动的，每次加0.5分，本项最多加2分。</w:t>
      </w:r>
    </w:p>
    <w:p w:rsidR="00AB3891" w:rsidRDefault="00AB3891" w:rsidP="00AB3891">
      <w:pPr>
        <w:ind w:firstLineChars="200" w:firstLine="640"/>
        <w:rPr>
          <w:rFonts w:ascii="仿宋" w:eastAsia="仿宋" w:hAnsi="仿宋" w:cs="仿宋"/>
          <w:sz w:val="32"/>
          <w:szCs w:val="32"/>
        </w:rPr>
      </w:pPr>
      <w:r>
        <w:rPr>
          <w:rFonts w:ascii="仿宋" w:eastAsia="仿宋" w:hAnsi="仿宋" w:cs="仿宋" w:hint="eastAsia"/>
          <w:sz w:val="32"/>
          <w:szCs w:val="32"/>
        </w:rPr>
        <w:t>第四条 鼓励考评对象积极参与行业共建。我市招标投标协会会员单位加1分；因招标代理从业表现良好受到我省或我市建设行政主管部门或招投标监管部门表彰的，个人每项次加1分，最高加2分；单位每项次加1.5分，最高加3分。积极</w:t>
      </w:r>
      <w:r>
        <w:rPr>
          <w:rFonts w:ascii="仿宋" w:eastAsia="仿宋" w:hAnsi="仿宋" w:cs="仿宋" w:hint="eastAsia"/>
          <w:sz w:val="32"/>
          <w:szCs w:val="32"/>
        </w:rPr>
        <w:lastRenderedPageBreak/>
        <w:t>参加我省或我市行业监管部门组织的招投标业务竞赛，个人一等奖、二等奖、三等奖、纪念奖（参与奖），市级每项次分别加1分、0.7分、0.5分和0.3分，省级每项次分别加1.3分、1分、0.8分和0.5分，集体奖分值分别为同级别同档次个人奖的1.5倍，此项最高加6分；我市招标投标协会或我省建设监理与招投标协会表彰的（</w:t>
      </w:r>
      <w:proofErr w:type="gramStart"/>
      <w:r>
        <w:rPr>
          <w:rFonts w:ascii="仿宋" w:eastAsia="仿宋" w:hAnsi="仿宋" w:cs="仿宋" w:hint="eastAsia"/>
          <w:sz w:val="32"/>
          <w:szCs w:val="32"/>
        </w:rPr>
        <w:t>含组织</w:t>
      </w:r>
      <w:proofErr w:type="gramEnd"/>
      <w:r>
        <w:rPr>
          <w:rFonts w:ascii="仿宋" w:eastAsia="仿宋" w:hAnsi="仿宋" w:cs="仿宋" w:hint="eastAsia"/>
          <w:sz w:val="32"/>
          <w:szCs w:val="32"/>
        </w:rPr>
        <w:t>的招投标业务竞赛获奖），按同级行政主管部门或行业监管部门的70%权重计取加分。</w:t>
      </w:r>
    </w:p>
    <w:p w:rsidR="00AB3891" w:rsidRDefault="00AB3891" w:rsidP="00AB3891">
      <w:pPr>
        <w:ind w:right="33" w:firstLineChars="200" w:firstLine="640"/>
        <w:rPr>
          <w:rFonts w:ascii="仿宋" w:eastAsia="仿宋" w:hAnsi="仿宋" w:cs="仿宋"/>
          <w:sz w:val="32"/>
          <w:szCs w:val="32"/>
        </w:rPr>
      </w:pPr>
      <w:r>
        <w:rPr>
          <w:rFonts w:ascii="仿宋" w:eastAsia="仿宋" w:hAnsi="仿宋" w:cs="仿宋" w:hint="eastAsia"/>
          <w:sz w:val="32"/>
          <w:szCs w:val="32"/>
        </w:rPr>
        <w:t>第五条 考评对象承办我市</w:t>
      </w:r>
      <w:proofErr w:type="gramStart"/>
      <w:r>
        <w:rPr>
          <w:rFonts w:ascii="仿宋" w:eastAsia="仿宋" w:hAnsi="仿宋" w:cs="仿宋" w:hint="eastAsia"/>
          <w:sz w:val="32"/>
          <w:szCs w:val="32"/>
        </w:rPr>
        <w:t>全市性招投标</w:t>
      </w:r>
      <w:proofErr w:type="gramEnd"/>
      <w:r>
        <w:rPr>
          <w:rFonts w:ascii="仿宋" w:eastAsia="仿宋" w:hAnsi="仿宋" w:cs="仿宋" w:hint="eastAsia"/>
          <w:sz w:val="32"/>
          <w:szCs w:val="32"/>
        </w:rPr>
        <w:t>行业活动的，每次加2.5分，最高加5分；协助我市行业监管部门或招投标协会组织活动的每人次加0.2分，最多加1.5分；参与行业主管部门或市招标投标协会组织的公益活动（含捐赠）的，每次加0.5分，最高加1.5分。</w:t>
      </w:r>
    </w:p>
    <w:p w:rsidR="00AB3891" w:rsidRDefault="00AB3891" w:rsidP="00AB3891">
      <w:pPr>
        <w:ind w:firstLineChars="200" w:firstLine="640"/>
        <w:rPr>
          <w:rFonts w:ascii="仿宋" w:eastAsia="仿宋" w:hAnsi="仿宋" w:cs="仿宋"/>
          <w:sz w:val="32"/>
          <w:szCs w:val="32"/>
        </w:rPr>
      </w:pPr>
      <w:r>
        <w:rPr>
          <w:rFonts w:ascii="仿宋" w:eastAsia="仿宋" w:hAnsi="仿宋" w:cs="仿宋" w:hint="eastAsia"/>
          <w:sz w:val="32"/>
          <w:szCs w:val="32"/>
        </w:rPr>
        <w:t>第六条 考评对象就我市招投标市场健康规范发展或招投标监管制度机制优化完善方面，向我市市级招投标监管部门建言献策并被采纳的，每条加0.3分，最高加1.5分。</w:t>
      </w:r>
    </w:p>
    <w:p w:rsidR="00515DF1" w:rsidRPr="00BD2C05" w:rsidRDefault="00515DF1">
      <w:pPr>
        <w:ind w:right="640"/>
        <w:rPr>
          <w:rFonts w:ascii="仿宋_GB2312" w:eastAsia="仿宋_GB2312"/>
          <w:sz w:val="32"/>
          <w:szCs w:val="32"/>
        </w:rPr>
      </w:pPr>
    </w:p>
    <w:p w:rsidR="00515DF1" w:rsidRPr="00BD2C05" w:rsidRDefault="00515DF1">
      <w:pPr>
        <w:ind w:right="640"/>
        <w:rPr>
          <w:rFonts w:ascii="仿宋_GB2312" w:eastAsia="仿宋_GB2312"/>
          <w:sz w:val="32"/>
          <w:szCs w:val="32"/>
        </w:rPr>
      </w:pPr>
    </w:p>
    <w:p w:rsidR="007279A7" w:rsidRPr="00BD2C05" w:rsidRDefault="007279A7">
      <w:pPr>
        <w:ind w:right="640"/>
        <w:rPr>
          <w:rFonts w:ascii="仿宋_GB2312" w:eastAsia="仿宋_GB2312"/>
          <w:sz w:val="32"/>
          <w:szCs w:val="32"/>
        </w:rPr>
      </w:pPr>
    </w:p>
    <w:p w:rsidR="007279A7" w:rsidRPr="00BD2C05" w:rsidRDefault="007279A7">
      <w:pPr>
        <w:ind w:right="640"/>
        <w:rPr>
          <w:rFonts w:ascii="仿宋_GB2312" w:eastAsia="仿宋_GB2312"/>
          <w:sz w:val="32"/>
          <w:szCs w:val="32"/>
        </w:rPr>
      </w:pPr>
    </w:p>
    <w:p w:rsidR="007279A7" w:rsidRPr="00BD2C05" w:rsidRDefault="007279A7">
      <w:pPr>
        <w:ind w:right="640"/>
        <w:rPr>
          <w:rFonts w:ascii="仿宋_GB2312" w:eastAsia="仿宋_GB2312"/>
          <w:sz w:val="32"/>
          <w:szCs w:val="32"/>
        </w:rPr>
      </w:pPr>
    </w:p>
    <w:tbl>
      <w:tblPr>
        <w:tblStyle w:val="a9"/>
        <w:tblW w:w="8827" w:type="dxa"/>
        <w:jc w:val="center"/>
        <w:tblBorders>
          <w:left w:val="none" w:sz="0" w:space="0" w:color="auto"/>
          <w:right w:val="none" w:sz="0" w:space="0" w:color="auto"/>
        </w:tblBorders>
        <w:tblLayout w:type="fixed"/>
        <w:tblLook w:val="04A0" w:firstRow="1" w:lastRow="0" w:firstColumn="1" w:lastColumn="0" w:noHBand="0" w:noVBand="1"/>
      </w:tblPr>
      <w:tblGrid>
        <w:gridCol w:w="8827"/>
      </w:tblGrid>
      <w:tr w:rsidR="00F06A78" w:rsidRPr="00BD2C05" w:rsidTr="00F06A78">
        <w:trPr>
          <w:trHeight w:val="590"/>
          <w:jc w:val="center"/>
        </w:trPr>
        <w:tc>
          <w:tcPr>
            <w:tcW w:w="8827" w:type="dxa"/>
          </w:tcPr>
          <w:p w:rsidR="007279A7" w:rsidRPr="00BD2C05" w:rsidRDefault="00C049CE" w:rsidP="00AB3891">
            <w:pPr>
              <w:tabs>
                <w:tab w:val="left" w:pos="5580"/>
                <w:tab w:val="left" w:pos="5940"/>
                <w:tab w:val="left" w:pos="6840"/>
                <w:tab w:val="left" w:pos="7020"/>
                <w:tab w:val="left" w:pos="7200"/>
              </w:tabs>
              <w:spacing w:line="500" w:lineRule="exact"/>
              <w:jc w:val="center"/>
              <w:rPr>
                <w:rFonts w:ascii="仿宋_GB2312" w:eastAsia="仿宋_GB2312"/>
                <w:sz w:val="28"/>
                <w:szCs w:val="28"/>
              </w:rPr>
            </w:pPr>
            <w:r w:rsidRPr="00BD2C05">
              <w:rPr>
                <w:rFonts w:ascii="仿宋_GB2312" w:eastAsia="仿宋_GB2312" w:hint="eastAsia"/>
                <w:sz w:val="28"/>
                <w:szCs w:val="28"/>
              </w:rPr>
              <w:t xml:space="preserve">连云港市建设工程招标投标管理办公室  </w:t>
            </w:r>
            <w:r w:rsidR="00F06A78">
              <w:rPr>
                <w:rFonts w:ascii="仿宋_GB2312" w:eastAsia="仿宋_GB2312" w:hint="eastAsia"/>
                <w:sz w:val="28"/>
                <w:szCs w:val="28"/>
              </w:rPr>
              <w:t xml:space="preserve"> </w:t>
            </w:r>
            <w:r w:rsidRPr="00BD2C05">
              <w:rPr>
                <w:rFonts w:ascii="仿宋_GB2312" w:eastAsia="仿宋_GB2312" w:hint="eastAsia"/>
                <w:sz w:val="28"/>
                <w:szCs w:val="28"/>
              </w:rPr>
              <w:t xml:space="preserve"> 2024年</w:t>
            </w:r>
            <w:r w:rsidR="00BD2C05">
              <w:rPr>
                <w:rFonts w:ascii="仿宋_GB2312" w:eastAsia="仿宋_GB2312" w:hint="eastAsia"/>
                <w:sz w:val="28"/>
                <w:szCs w:val="28"/>
              </w:rPr>
              <w:t>5</w:t>
            </w:r>
            <w:r w:rsidRPr="00BD2C05">
              <w:rPr>
                <w:rFonts w:ascii="仿宋_GB2312" w:eastAsia="仿宋_GB2312" w:hint="eastAsia"/>
                <w:sz w:val="28"/>
                <w:szCs w:val="28"/>
              </w:rPr>
              <w:t>月</w:t>
            </w:r>
            <w:r w:rsidR="00AB3891">
              <w:rPr>
                <w:rFonts w:ascii="仿宋_GB2312" w:eastAsia="仿宋_GB2312" w:hint="eastAsia"/>
                <w:sz w:val="28"/>
                <w:szCs w:val="28"/>
              </w:rPr>
              <w:t>21</w:t>
            </w:r>
            <w:bookmarkStart w:id="0" w:name="_GoBack"/>
            <w:bookmarkEnd w:id="0"/>
            <w:r w:rsidRPr="00BD2C05">
              <w:rPr>
                <w:rFonts w:ascii="仿宋_GB2312" w:eastAsia="仿宋_GB2312" w:hint="eastAsia"/>
                <w:sz w:val="28"/>
                <w:szCs w:val="28"/>
              </w:rPr>
              <w:t>日印发</w:t>
            </w:r>
          </w:p>
        </w:tc>
      </w:tr>
    </w:tbl>
    <w:p w:rsidR="007279A7" w:rsidRPr="00BD2C05" w:rsidRDefault="007279A7">
      <w:pPr>
        <w:spacing w:line="40" w:lineRule="exact"/>
        <w:jc w:val="left"/>
        <w:rPr>
          <w:rFonts w:ascii="仿宋_GB2312" w:eastAsia="仿宋_GB2312" w:hAnsi="仿宋"/>
          <w:sz w:val="32"/>
          <w:szCs w:val="32"/>
        </w:rPr>
      </w:pPr>
    </w:p>
    <w:p w:rsidR="007279A7" w:rsidRPr="00BD2C05" w:rsidRDefault="007279A7">
      <w:pPr>
        <w:spacing w:line="40" w:lineRule="exact"/>
        <w:ind w:firstLineChars="700" w:firstLine="2240"/>
        <w:rPr>
          <w:rFonts w:ascii="黑体" w:eastAsia="黑体" w:hAnsi="黑体" w:cs="黑体"/>
          <w:sz w:val="32"/>
          <w:szCs w:val="32"/>
        </w:rPr>
      </w:pPr>
    </w:p>
    <w:p w:rsidR="007279A7" w:rsidRPr="00BD2C05" w:rsidRDefault="007279A7">
      <w:pPr>
        <w:spacing w:line="40" w:lineRule="exact"/>
        <w:jc w:val="left"/>
        <w:rPr>
          <w:rFonts w:ascii="仿宋_GB2312" w:eastAsia="仿宋_GB2312" w:hAnsi="仿宋"/>
          <w:sz w:val="32"/>
          <w:szCs w:val="32"/>
        </w:rPr>
      </w:pPr>
    </w:p>
    <w:sectPr w:rsidR="007279A7" w:rsidRPr="00BD2C05" w:rsidSect="006E5544">
      <w:footerReference w:type="even" r:id="rId8"/>
      <w:footerReference w:type="default" r:id="rId9"/>
      <w:pgSz w:w="11906" w:h="16838"/>
      <w:pgMar w:top="1701" w:right="1588" w:bottom="1701" w:left="1588"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B09" w:rsidRDefault="00C85B09">
      <w:r>
        <w:separator/>
      </w:r>
    </w:p>
  </w:endnote>
  <w:endnote w:type="continuationSeparator" w:id="0">
    <w:p w:rsidR="00C85B09" w:rsidRDefault="00C8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281213"/>
    </w:sdtPr>
    <w:sdtEndPr/>
    <w:sdtContent>
      <w:p w:rsidR="007279A7" w:rsidRDefault="00C049CE" w:rsidP="00BD2C05">
        <w:pPr>
          <w:pStyle w:val="a6"/>
        </w:pPr>
        <w:r>
          <w:fldChar w:fldCharType="begin"/>
        </w:r>
        <w:r>
          <w:instrText>PAGE   \* MERGEFORMAT</w:instrText>
        </w:r>
        <w:r>
          <w:fldChar w:fldCharType="separate"/>
        </w:r>
        <w:r w:rsidR="00AB3891" w:rsidRPr="00AB3891">
          <w:rPr>
            <w:noProof/>
            <w:lang w:val="zh-CN"/>
          </w:rPr>
          <w:t>-</w:t>
        </w:r>
        <w:r w:rsidR="00AB3891">
          <w:rPr>
            <w:noProof/>
          </w:rPr>
          <w:t xml:space="preserve"> 2 -</w:t>
        </w:r>
        <w:r>
          <w:fldChar w:fldCharType="end"/>
        </w:r>
      </w:p>
    </w:sdtContent>
  </w:sdt>
  <w:p w:rsidR="007279A7" w:rsidRDefault="007279A7" w:rsidP="00BD2C0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012183"/>
      <w:docPartObj>
        <w:docPartGallery w:val="Page Numbers (Bottom of Page)"/>
        <w:docPartUnique/>
      </w:docPartObj>
    </w:sdtPr>
    <w:sdtEndPr/>
    <w:sdtContent>
      <w:p w:rsidR="00F06A78" w:rsidRDefault="00F06A78">
        <w:pPr>
          <w:pStyle w:val="a6"/>
          <w:jc w:val="right"/>
        </w:pPr>
        <w:r>
          <w:fldChar w:fldCharType="begin"/>
        </w:r>
        <w:r>
          <w:instrText>PAGE   \* MERGEFORMAT</w:instrText>
        </w:r>
        <w:r>
          <w:fldChar w:fldCharType="separate"/>
        </w:r>
        <w:r w:rsidR="00AB3891" w:rsidRPr="00AB3891">
          <w:rPr>
            <w:noProof/>
            <w:lang w:val="zh-CN"/>
          </w:rPr>
          <w:t>-</w:t>
        </w:r>
        <w:r w:rsidR="00AB3891">
          <w:rPr>
            <w:noProof/>
          </w:rPr>
          <w:t xml:space="preserve"> 1 -</w:t>
        </w:r>
        <w:r>
          <w:fldChar w:fldCharType="end"/>
        </w:r>
      </w:p>
    </w:sdtContent>
  </w:sdt>
  <w:p w:rsidR="007279A7" w:rsidRDefault="007279A7" w:rsidP="00BD2C0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B09" w:rsidRDefault="00C85B09">
      <w:r>
        <w:separator/>
      </w:r>
    </w:p>
  </w:footnote>
  <w:footnote w:type="continuationSeparator" w:id="0">
    <w:p w:rsidR="00C85B09" w:rsidRDefault="00C85B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M2QyZmQ4ZWY3NjU0YTQwNGU0MjZkNTZiYmRhMmMifQ=="/>
  </w:docVars>
  <w:rsids>
    <w:rsidRoot w:val="00BC60D6"/>
    <w:rsid w:val="000008ED"/>
    <w:rsid w:val="00004C22"/>
    <w:rsid w:val="00006F01"/>
    <w:rsid w:val="0001176C"/>
    <w:rsid w:val="00032D05"/>
    <w:rsid w:val="0005244E"/>
    <w:rsid w:val="0005434D"/>
    <w:rsid w:val="000604D8"/>
    <w:rsid w:val="00064E48"/>
    <w:rsid w:val="00075724"/>
    <w:rsid w:val="00083B92"/>
    <w:rsid w:val="000A008E"/>
    <w:rsid w:val="000A480A"/>
    <w:rsid w:val="000B5ECD"/>
    <w:rsid w:val="000D384B"/>
    <w:rsid w:val="000F755A"/>
    <w:rsid w:val="001117BC"/>
    <w:rsid w:val="0011599D"/>
    <w:rsid w:val="00116291"/>
    <w:rsid w:val="00117ED9"/>
    <w:rsid w:val="00121AC3"/>
    <w:rsid w:val="00122488"/>
    <w:rsid w:val="001237D4"/>
    <w:rsid w:val="00137BAD"/>
    <w:rsid w:val="001461D2"/>
    <w:rsid w:val="00157FA3"/>
    <w:rsid w:val="00172726"/>
    <w:rsid w:val="00181779"/>
    <w:rsid w:val="0018735A"/>
    <w:rsid w:val="00196847"/>
    <w:rsid w:val="001A1966"/>
    <w:rsid w:val="001A3771"/>
    <w:rsid w:val="001A6C48"/>
    <w:rsid w:val="001B4AF0"/>
    <w:rsid w:val="001B5252"/>
    <w:rsid w:val="001B67CA"/>
    <w:rsid w:val="001C32BA"/>
    <w:rsid w:val="001C3370"/>
    <w:rsid w:val="001C5B69"/>
    <w:rsid w:val="001D5DB3"/>
    <w:rsid w:val="001E67CC"/>
    <w:rsid w:val="001F589B"/>
    <w:rsid w:val="0020034A"/>
    <w:rsid w:val="002105E9"/>
    <w:rsid w:val="0022315E"/>
    <w:rsid w:val="0024383A"/>
    <w:rsid w:val="00260FBF"/>
    <w:rsid w:val="002661A0"/>
    <w:rsid w:val="0027281D"/>
    <w:rsid w:val="00287E3F"/>
    <w:rsid w:val="002A00BD"/>
    <w:rsid w:val="002B0E66"/>
    <w:rsid w:val="002B1A8F"/>
    <w:rsid w:val="002B6389"/>
    <w:rsid w:val="002C28B7"/>
    <w:rsid w:val="002C5795"/>
    <w:rsid w:val="002D3187"/>
    <w:rsid w:val="002D5DFE"/>
    <w:rsid w:val="002E4022"/>
    <w:rsid w:val="002F5AC8"/>
    <w:rsid w:val="00301C64"/>
    <w:rsid w:val="00311887"/>
    <w:rsid w:val="003135B3"/>
    <w:rsid w:val="00317582"/>
    <w:rsid w:val="00342ACF"/>
    <w:rsid w:val="00353F50"/>
    <w:rsid w:val="003555D0"/>
    <w:rsid w:val="00367ED2"/>
    <w:rsid w:val="00370B71"/>
    <w:rsid w:val="00383C35"/>
    <w:rsid w:val="00392CD7"/>
    <w:rsid w:val="003B1965"/>
    <w:rsid w:val="003B5062"/>
    <w:rsid w:val="003B7A90"/>
    <w:rsid w:val="003C11D1"/>
    <w:rsid w:val="003C352B"/>
    <w:rsid w:val="003E5803"/>
    <w:rsid w:val="003F2257"/>
    <w:rsid w:val="003F408D"/>
    <w:rsid w:val="004158C4"/>
    <w:rsid w:val="004158E1"/>
    <w:rsid w:val="004174D6"/>
    <w:rsid w:val="00420863"/>
    <w:rsid w:val="004241DE"/>
    <w:rsid w:val="004449D5"/>
    <w:rsid w:val="004509CC"/>
    <w:rsid w:val="00452784"/>
    <w:rsid w:val="0045316F"/>
    <w:rsid w:val="004542C9"/>
    <w:rsid w:val="00461E28"/>
    <w:rsid w:val="004708AE"/>
    <w:rsid w:val="00483FB8"/>
    <w:rsid w:val="00486F89"/>
    <w:rsid w:val="00490923"/>
    <w:rsid w:val="0049295D"/>
    <w:rsid w:val="004B1B51"/>
    <w:rsid w:val="004E406F"/>
    <w:rsid w:val="00515DF1"/>
    <w:rsid w:val="00525EEC"/>
    <w:rsid w:val="00526902"/>
    <w:rsid w:val="00544BBE"/>
    <w:rsid w:val="005508E8"/>
    <w:rsid w:val="00550C13"/>
    <w:rsid w:val="00554A4D"/>
    <w:rsid w:val="00555E58"/>
    <w:rsid w:val="005570EC"/>
    <w:rsid w:val="00560080"/>
    <w:rsid w:val="00562380"/>
    <w:rsid w:val="00564968"/>
    <w:rsid w:val="00576712"/>
    <w:rsid w:val="00577B33"/>
    <w:rsid w:val="00597054"/>
    <w:rsid w:val="005B078E"/>
    <w:rsid w:val="005C17C7"/>
    <w:rsid w:val="005C703F"/>
    <w:rsid w:val="005E00F1"/>
    <w:rsid w:val="005E4377"/>
    <w:rsid w:val="005E53E9"/>
    <w:rsid w:val="00627E7A"/>
    <w:rsid w:val="00630AF1"/>
    <w:rsid w:val="006418E8"/>
    <w:rsid w:val="006504E2"/>
    <w:rsid w:val="00653856"/>
    <w:rsid w:val="00655FB1"/>
    <w:rsid w:val="0066233C"/>
    <w:rsid w:val="0067561C"/>
    <w:rsid w:val="00682865"/>
    <w:rsid w:val="00682DC0"/>
    <w:rsid w:val="00694F3D"/>
    <w:rsid w:val="006B7D10"/>
    <w:rsid w:val="006C1311"/>
    <w:rsid w:val="006C3F19"/>
    <w:rsid w:val="006E2BA2"/>
    <w:rsid w:val="006E5544"/>
    <w:rsid w:val="00700460"/>
    <w:rsid w:val="007038D9"/>
    <w:rsid w:val="007110FE"/>
    <w:rsid w:val="0072084D"/>
    <w:rsid w:val="00720C3A"/>
    <w:rsid w:val="00722CDA"/>
    <w:rsid w:val="00723C38"/>
    <w:rsid w:val="00723CDF"/>
    <w:rsid w:val="0072643B"/>
    <w:rsid w:val="007279A7"/>
    <w:rsid w:val="00736D20"/>
    <w:rsid w:val="00746816"/>
    <w:rsid w:val="0077578B"/>
    <w:rsid w:val="007801C9"/>
    <w:rsid w:val="00786A69"/>
    <w:rsid w:val="007A389D"/>
    <w:rsid w:val="007A7164"/>
    <w:rsid w:val="007B013F"/>
    <w:rsid w:val="007D2EB2"/>
    <w:rsid w:val="007D6D9D"/>
    <w:rsid w:val="007E21CA"/>
    <w:rsid w:val="007F3EA9"/>
    <w:rsid w:val="007F4233"/>
    <w:rsid w:val="00800F36"/>
    <w:rsid w:val="00805D50"/>
    <w:rsid w:val="00811808"/>
    <w:rsid w:val="008120B3"/>
    <w:rsid w:val="00827A97"/>
    <w:rsid w:val="008436E5"/>
    <w:rsid w:val="00847D23"/>
    <w:rsid w:val="00850948"/>
    <w:rsid w:val="00862E5E"/>
    <w:rsid w:val="00895D2D"/>
    <w:rsid w:val="008B2337"/>
    <w:rsid w:val="008C1705"/>
    <w:rsid w:val="008C734E"/>
    <w:rsid w:val="008E188A"/>
    <w:rsid w:val="008F5AB2"/>
    <w:rsid w:val="009014FA"/>
    <w:rsid w:val="00903556"/>
    <w:rsid w:val="009421A7"/>
    <w:rsid w:val="00950343"/>
    <w:rsid w:val="00951CAC"/>
    <w:rsid w:val="009558C0"/>
    <w:rsid w:val="00967066"/>
    <w:rsid w:val="00974107"/>
    <w:rsid w:val="0098165E"/>
    <w:rsid w:val="009917F4"/>
    <w:rsid w:val="009B2044"/>
    <w:rsid w:val="009C00B3"/>
    <w:rsid w:val="009D2A19"/>
    <w:rsid w:val="009D45D3"/>
    <w:rsid w:val="009E5160"/>
    <w:rsid w:val="009E7BCC"/>
    <w:rsid w:val="009F23A8"/>
    <w:rsid w:val="009F39E2"/>
    <w:rsid w:val="009F6EB8"/>
    <w:rsid w:val="009F761B"/>
    <w:rsid w:val="00A0676F"/>
    <w:rsid w:val="00A30302"/>
    <w:rsid w:val="00A46998"/>
    <w:rsid w:val="00A5198A"/>
    <w:rsid w:val="00A966C8"/>
    <w:rsid w:val="00A96A57"/>
    <w:rsid w:val="00AB2182"/>
    <w:rsid w:val="00AB3891"/>
    <w:rsid w:val="00AB5686"/>
    <w:rsid w:val="00AB627C"/>
    <w:rsid w:val="00AC6EF5"/>
    <w:rsid w:val="00AD27E4"/>
    <w:rsid w:val="00AD6CEF"/>
    <w:rsid w:val="00AD7AD2"/>
    <w:rsid w:val="00AE0FD1"/>
    <w:rsid w:val="00AF45C4"/>
    <w:rsid w:val="00AF597D"/>
    <w:rsid w:val="00AF7BFE"/>
    <w:rsid w:val="00B01C10"/>
    <w:rsid w:val="00B15157"/>
    <w:rsid w:val="00B168FC"/>
    <w:rsid w:val="00B32B2A"/>
    <w:rsid w:val="00B361F6"/>
    <w:rsid w:val="00B454A0"/>
    <w:rsid w:val="00B67037"/>
    <w:rsid w:val="00B801F3"/>
    <w:rsid w:val="00BB566A"/>
    <w:rsid w:val="00BC125A"/>
    <w:rsid w:val="00BC1E1A"/>
    <w:rsid w:val="00BC390C"/>
    <w:rsid w:val="00BC3C36"/>
    <w:rsid w:val="00BC60D6"/>
    <w:rsid w:val="00BD2C05"/>
    <w:rsid w:val="00BD2F52"/>
    <w:rsid w:val="00BE217C"/>
    <w:rsid w:val="00BE66B1"/>
    <w:rsid w:val="00BF1E65"/>
    <w:rsid w:val="00C02604"/>
    <w:rsid w:val="00C02C5A"/>
    <w:rsid w:val="00C049CE"/>
    <w:rsid w:val="00C0512E"/>
    <w:rsid w:val="00C052D8"/>
    <w:rsid w:val="00C21172"/>
    <w:rsid w:val="00C213B3"/>
    <w:rsid w:val="00C23F68"/>
    <w:rsid w:val="00C34ABB"/>
    <w:rsid w:val="00C40CEB"/>
    <w:rsid w:val="00C54CEB"/>
    <w:rsid w:val="00C55ED6"/>
    <w:rsid w:val="00C76A68"/>
    <w:rsid w:val="00C80276"/>
    <w:rsid w:val="00C83389"/>
    <w:rsid w:val="00C84C2B"/>
    <w:rsid w:val="00C85B09"/>
    <w:rsid w:val="00C908BC"/>
    <w:rsid w:val="00C9317C"/>
    <w:rsid w:val="00CA0DDC"/>
    <w:rsid w:val="00CC40B1"/>
    <w:rsid w:val="00CC7E3F"/>
    <w:rsid w:val="00CD0E60"/>
    <w:rsid w:val="00CD204F"/>
    <w:rsid w:val="00CE3349"/>
    <w:rsid w:val="00CF2451"/>
    <w:rsid w:val="00CF3112"/>
    <w:rsid w:val="00D04267"/>
    <w:rsid w:val="00D26FEB"/>
    <w:rsid w:val="00D32E0D"/>
    <w:rsid w:val="00D33A52"/>
    <w:rsid w:val="00D40303"/>
    <w:rsid w:val="00D71264"/>
    <w:rsid w:val="00D80437"/>
    <w:rsid w:val="00D96530"/>
    <w:rsid w:val="00DA2195"/>
    <w:rsid w:val="00DC6B3F"/>
    <w:rsid w:val="00DD0FFE"/>
    <w:rsid w:val="00DE1555"/>
    <w:rsid w:val="00E04D35"/>
    <w:rsid w:val="00E0602E"/>
    <w:rsid w:val="00E1647F"/>
    <w:rsid w:val="00E2407D"/>
    <w:rsid w:val="00E36FB5"/>
    <w:rsid w:val="00E401E2"/>
    <w:rsid w:val="00E42327"/>
    <w:rsid w:val="00E61E4F"/>
    <w:rsid w:val="00E77C21"/>
    <w:rsid w:val="00E90A09"/>
    <w:rsid w:val="00E9450D"/>
    <w:rsid w:val="00EB0111"/>
    <w:rsid w:val="00EC57A1"/>
    <w:rsid w:val="00EC771D"/>
    <w:rsid w:val="00ED0CDB"/>
    <w:rsid w:val="00ED22F6"/>
    <w:rsid w:val="00ED3A6D"/>
    <w:rsid w:val="00EE0E67"/>
    <w:rsid w:val="00F036A9"/>
    <w:rsid w:val="00F06A78"/>
    <w:rsid w:val="00F1095F"/>
    <w:rsid w:val="00F44783"/>
    <w:rsid w:val="00F4679A"/>
    <w:rsid w:val="00F560F4"/>
    <w:rsid w:val="00F7390C"/>
    <w:rsid w:val="00F81903"/>
    <w:rsid w:val="00F840FB"/>
    <w:rsid w:val="00F84C9A"/>
    <w:rsid w:val="00F84DD4"/>
    <w:rsid w:val="00F9232C"/>
    <w:rsid w:val="00F95634"/>
    <w:rsid w:val="00FB20A1"/>
    <w:rsid w:val="00FC70B9"/>
    <w:rsid w:val="00FE4A4B"/>
    <w:rsid w:val="00FE79E6"/>
    <w:rsid w:val="00FF4AFB"/>
    <w:rsid w:val="00FF53DE"/>
    <w:rsid w:val="021F4265"/>
    <w:rsid w:val="06AB431A"/>
    <w:rsid w:val="0E0A401C"/>
    <w:rsid w:val="0F072309"/>
    <w:rsid w:val="10B16A47"/>
    <w:rsid w:val="16181A74"/>
    <w:rsid w:val="167C35DD"/>
    <w:rsid w:val="167F3F3A"/>
    <w:rsid w:val="17242DAC"/>
    <w:rsid w:val="1778419E"/>
    <w:rsid w:val="17D47448"/>
    <w:rsid w:val="1CC57360"/>
    <w:rsid w:val="1D5F0B9F"/>
    <w:rsid w:val="209F3BD3"/>
    <w:rsid w:val="21122251"/>
    <w:rsid w:val="25E707D6"/>
    <w:rsid w:val="2F5A149A"/>
    <w:rsid w:val="2F7D44F8"/>
    <w:rsid w:val="31267134"/>
    <w:rsid w:val="31A93FF9"/>
    <w:rsid w:val="373A18A0"/>
    <w:rsid w:val="384551A4"/>
    <w:rsid w:val="38F34E5D"/>
    <w:rsid w:val="3A5E4C24"/>
    <w:rsid w:val="3A842CED"/>
    <w:rsid w:val="3C476311"/>
    <w:rsid w:val="3D805ADE"/>
    <w:rsid w:val="3D9F17DB"/>
    <w:rsid w:val="3F483DFB"/>
    <w:rsid w:val="40D61E2C"/>
    <w:rsid w:val="446A68AD"/>
    <w:rsid w:val="4723522B"/>
    <w:rsid w:val="472707C2"/>
    <w:rsid w:val="4B0C4228"/>
    <w:rsid w:val="4D9E2936"/>
    <w:rsid w:val="4F16290C"/>
    <w:rsid w:val="5195524A"/>
    <w:rsid w:val="52C32E44"/>
    <w:rsid w:val="5610340B"/>
    <w:rsid w:val="57512E4E"/>
    <w:rsid w:val="57540AA7"/>
    <w:rsid w:val="5C660DB8"/>
    <w:rsid w:val="5E275239"/>
    <w:rsid w:val="5FE412B4"/>
    <w:rsid w:val="5FEF619A"/>
    <w:rsid w:val="63B219B9"/>
    <w:rsid w:val="67380427"/>
    <w:rsid w:val="67C15537"/>
    <w:rsid w:val="6E3C6178"/>
    <w:rsid w:val="6E4A0A40"/>
    <w:rsid w:val="70BF2CEA"/>
    <w:rsid w:val="726A16B0"/>
    <w:rsid w:val="73CD3064"/>
    <w:rsid w:val="75A860FD"/>
    <w:rsid w:val="769E2278"/>
    <w:rsid w:val="779632CD"/>
    <w:rsid w:val="7797168D"/>
    <w:rsid w:val="795972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2" w:uiPriority="0" w:qFormat="1"/>
    <w:lsdException w:name="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autoRedefine/>
    <w:qFormat/>
    <w:rPr>
      <w:rFonts w:ascii="宋体" w:hAnsi="Courier New" w:cs="Courier New"/>
      <w:szCs w:val="21"/>
    </w:rPr>
  </w:style>
  <w:style w:type="paragraph" w:styleId="a4">
    <w:name w:val="Date"/>
    <w:basedOn w:val="a"/>
    <w:next w:val="a"/>
    <w:link w:val="Char0"/>
    <w:autoRedefine/>
    <w:uiPriority w:val="99"/>
    <w:semiHidden/>
    <w:unhideWhenUsed/>
    <w:qFormat/>
    <w:pPr>
      <w:ind w:leftChars="2500" w:left="100"/>
    </w:pPr>
  </w:style>
  <w:style w:type="paragraph" w:styleId="a5">
    <w:name w:val="Balloon Text"/>
    <w:basedOn w:val="a"/>
    <w:link w:val="Char1"/>
    <w:autoRedefine/>
    <w:uiPriority w:val="99"/>
    <w:semiHidden/>
    <w:unhideWhenUsed/>
    <w:qFormat/>
    <w:rPr>
      <w:sz w:val="18"/>
      <w:szCs w:val="18"/>
    </w:rPr>
  </w:style>
  <w:style w:type="paragraph" w:styleId="a6">
    <w:name w:val="footer"/>
    <w:basedOn w:val="a"/>
    <w:link w:val="Char2"/>
    <w:autoRedefine/>
    <w:uiPriority w:val="99"/>
    <w:unhideWhenUsed/>
    <w:qFormat/>
    <w:rsid w:val="00BD2C05"/>
    <w:pPr>
      <w:tabs>
        <w:tab w:val="center" w:pos="4153"/>
        <w:tab w:val="right" w:pos="8306"/>
      </w:tabs>
      <w:snapToGrid w:val="0"/>
      <w:jc w:val="left"/>
    </w:pPr>
    <w:rPr>
      <w:rFonts w:asciiTheme="minorEastAsia" w:hAnsiTheme="minorEastAsia"/>
      <w:sz w:val="28"/>
      <w:szCs w:val="28"/>
    </w:rPr>
  </w:style>
  <w:style w:type="paragraph" w:styleId="a7">
    <w:name w:val="header"/>
    <w:basedOn w:val="a"/>
    <w:link w:val="Char3"/>
    <w:autoRedefine/>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qFormat/>
    <w:pPr>
      <w:spacing w:before="100" w:beforeAutospacing="1" w:after="100" w:afterAutospacing="1"/>
      <w:jc w:val="left"/>
    </w:pPr>
    <w:rPr>
      <w:rFonts w:ascii="Calibri" w:eastAsia="宋体" w:hAnsi="Calibri" w:cs="Times New Roman"/>
      <w:kern w:val="0"/>
      <w:sz w:val="24"/>
      <w:szCs w:val="24"/>
    </w:rPr>
  </w:style>
  <w:style w:type="table" w:styleId="a9">
    <w:name w:val="Table Grid"/>
    <w:basedOn w:val="a1"/>
    <w:autoRedefine/>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autoRedefine/>
    <w:qFormat/>
    <w:rPr>
      <w:b/>
    </w:rPr>
  </w:style>
  <w:style w:type="character" w:styleId="ab">
    <w:name w:val="page number"/>
    <w:autoRedefine/>
    <w:qFormat/>
  </w:style>
  <w:style w:type="character" w:styleId="ac">
    <w:name w:val="Hyperlink"/>
    <w:basedOn w:val="a0"/>
    <w:autoRedefine/>
    <w:uiPriority w:val="99"/>
    <w:unhideWhenUsed/>
    <w:qFormat/>
    <w:rPr>
      <w:color w:val="0000FF" w:themeColor="hyperlink"/>
      <w:u w:val="single"/>
    </w:rPr>
  </w:style>
  <w:style w:type="character" w:customStyle="1" w:styleId="Char0">
    <w:name w:val="日期 Char"/>
    <w:basedOn w:val="a0"/>
    <w:link w:val="a4"/>
    <w:autoRedefine/>
    <w:uiPriority w:val="99"/>
    <w:semiHidden/>
    <w:qFormat/>
  </w:style>
  <w:style w:type="character" w:customStyle="1" w:styleId="Char3">
    <w:name w:val="页眉 Char"/>
    <w:basedOn w:val="a0"/>
    <w:link w:val="a7"/>
    <w:autoRedefine/>
    <w:uiPriority w:val="99"/>
    <w:qFormat/>
    <w:rPr>
      <w:sz w:val="18"/>
      <w:szCs w:val="18"/>
    </w:rPr>
  </w:style>
  <w:style w:type="character" w:customStyle="1" w:styleId="Char2">
    <w:name w:val="页脚 Char"/>
    <w:basedOn w:val="a0"/>
    <w:link w:val="a6"/>
    <w:autoRedefine/>
    <w:uiPriority w:val="99"/>
    <w:qFormat/>
    <w:rsid w:val="00BD2C05"/>
    <w:rPr>
      <w:rFonts w:asciiTheme="minorEastAsia" w:hAnsiTheme="minorEastAsia"/>
      <w:kern w:val="2"/>
      <w:sz w:val="28"/>
      <w:szCs w:val="28"/>
    </w:rPr>
  </w:style>
  <w:style w:type="character" w:customStyle="1" w:styleId="Char1">
    <w:name w:val="批注框文本 Char"/>
    <w:basedOn w:val="a0"/>
    <w:link w:val="a5"/>
    <w:autoRedefine/>
    <w:uiPriority w:val="99"/>
    <w:semiHidden/>
    <w:qFormat/>
    <w:rPr>
      <w:sz w:val="18"/>
      <w:szCs w:val="18"/>
    </w:rPr>
  </w:style>
  <w:style w:type="character" w:customStyle="1" w:styleId="2Char">
    <w:name w:val="标题 2 Char"/>
    <w:basedOn w:val="a0"/>
    <w:link w:val="2"/>
    <w:autoRedefine/>
    <w:uiPriority w:val="9"/>
    <w:qFormat/>
    <w:rPr>
      <w:rFonts w:ascii="宋体" w:eastAsia="宋体" w:hAnsi="宋体" w:cs="宋体"/>
      <w:b/>
      <w:bCs/>
      <w:kern w:val="0"/>
      <w:sz w:val="36"/>
      <w:szCs w:val="36"/>
    </w:rPr>
  </w:style>
  <w:style w:type="paragraph" w:customStyle="1" w:styleId="Ad">
    <w:name w:val="正文 A"/>
    <w:autoRedefine/>
    <w:qFormat/>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ae">
    <w:name w:val="无"/>
    <w:autoRedefine/>
    <w:qFormat/>
  </w:style>
  <w:style w:type="character" w:customStyle="1" w:styleId="Hyperlink0">
    <w:name w:val="Hyperlink.0"/>
    <w:basedOn w:val="ae"/>
    <w:autoRedefine/>
    <w:qFormat/>
    <w:rPr>
      <w:rFonts w:ascii="宋体" w:eastAsia="宋体" w:hAnsi="宋体" w:cs="宋体"/>
      <w:color w:val="000000"/>
      <w:kern w:val="0"/>
      <w:sz w:val="24"/>
      <w:szCs w:val="24"/>
      <w:u w:val="single" w:color="000000"/>
      <w:lang w:val="en-US"/>
    </w:rPr>
  </w:style>
  <w:style w:type="table" w:customStyle="1" w:styleId="TableNormal">
    <w:name w:val="Table Normal"/>
    <w:autoRedefine/>
    <w:qFormat/>
    <w:rPr>
      <w:rFonts w:ascii="Times New Roman" w:hAnsi="Times New Roman" w:cs="Times New Roman"/>
    </w:rPr>
    <w:tblPr>
      <w:tblCellMar>
        <w:top w:w="0" w:type="dxa"/>
        <w:left w:w="0" w:type="dxa"/>
        <w:bottom w:w="0" w:type="dxa"/>
        <w:right w:w="0" w:type="dxa"/>
      </w:tblCellMar>
    </w:tblPr>
  </w:style>
  <w:style w:type="character" w:customStyle="1" w:styleId="1Char">
    <w:name w:val="标题 1 Char"/>
    <w:basedOn w:val="a0"/>
    <w:link w:val="1"/>
    <w:autoRedefine/>
    <w:uiPriority w:val="9"/>
    <w:qFormat/>
    <w:rPr>
      <w:b/>
      <w:bCs/>
      <w:kern w:val="44"/>
      <w:sz w:val="44"/>
      <w:szCs w:val="44"/>
    </w:rPr>
  </w:style>
  <w:style w:type="character" w:customStyle="1" w:styleId="Char">
    <w:name w:val="纯文本 Char"/>
    <w:basedOn w:val="a0"/>
    <w:link w:val="a3"/>
    <w:autoRedefine/>
    <w:qFormat/>
    <w:rPr>
      <w:rFonts w:ascii="宋体" w:hAnsi="Courier New" w:cs="Courier New"/>
      <w:szCs w:val="21"/>
    </w:rPr>
  </w:style>
  <w:style w:type="character" w:customStyle="1" w:styleId="Char10">
    <w:name w:val="纯文本 Char1"/>
    <w:basedOn w:val="a0"/>
    <w:autoRedefine/>
    <w:uiPriority w:val="99"/>
    <w:semiHidden/>
    <w:qFormat/>
    <w:rPr>
      <w:rFonts w:ascii="宋体" w:eastAsia="宋体" w:hAnsi="Courier New" w:cs="Courier New"/>
      <w:szCs w:val="21"/>
    </w:rPr>
  </w:style>
  <w:style w:type="character" w:customStyle="1" w:styleId="Heading21">
    <w:name w:val="Heading #2|1_"/>
    <w:basedOn w:val="a0"/>
    <w:link w:val="Heading210"/>
    <w:autoRedefine/>
    <w:qFormat/>
    <w:rPr>
      <w:rFonts w:ascii="宋体" w:eastAsia="宋体" w:hAnsi="宋体" w:cs="宋体"/>
      <w:sz w:val="44"/>
      <w:szCs w:val="44"/>
      <w:lang w:val="zh-TW" w:eastAsia="zh-TW" w:bidi="zh-TW"/>
    </w:rPr>
  </w:style>
  <w:style w:type="paragraph" w:customStyle="1" w:styleId="Heading210">
    <w:name w:val="Heading #2|1"/>
    <w:basedOn w:val="a"/>
    <w:link w:val="Heading21"/>
    <w:autoRedefine/>
    <w:qFormat/>
    <w:pPr>
      <w:spacing w:after="480" w:line="677" w:lineRule="exact"/>
      <w:jc w:val="center"/>
      <w:outlineLvl w:val="1"/>
    </w:pPr>
    <w:rPr>
      <w:rFonts w:ascii="宋体" w:eastAsia="宋体" w:hAnsi="宋体" w:cs="宋体"/>
      <w:sz w:val="44"/>
      <w:szCs w:val="44"/>
      <w:lang w:val="zh-TW" w:eastAsia="zh-TW" w:bidi="zh-TW"/>
    </w:rPr>
  </w:style>
  <w:style w:type="character" w:customStyle="1" w:styleId="Bodytext1">
    <w:name w:val="Body text|1_"/>
    <w:basedOn w:val="a0"/>
    <w:link w:val="Bodytext10"/>
    <w:autoRedefine/>
    <w:qFormat/>
    <w:rPr>
      <w:rFonts w:ascii="宋体" w:eastAsia="宋体" w:hAnsi="宋体" w:cs="宋体"/>
      <w:sz w:val="30"/>
      <w:szCs w:val="30"/>
      <w:lang w:val="zh-TW" w:eastAsia="zh-TW" w:bidi="zh-TW"/>
    </w:rPr>
  </w:style>
  <w:style w:type="paragraph" w:customStyle="1" w:styleId="Bodytext10">
    <w:name w:val="Body text|1"/>
    <w:basedOn w:val="a"/>
    <w:link w:val="Bodytext1"/>
    <w:autoRedefine/>
    <w:qFormat/>
    <w:pPr>
      <w:spacing w:line="360" w:lineRule="auto"/>
      <w:ind w:firstLine="400"/>
      <w:jc w:val="left"/>
    </w:pPr>
    <w:rPr>
      <w:rFonts w:ascii="宋体" w:eastAsia="宋体" w:hAnsi="宋体" w:cs="宋体"/>
      <w:sz w:val="30"/>
      <w:szCs w:val="30"/>
      <w:lang w:val="zh-TW" w:eastAsia="zh-TW" w:bidi="zh-TW"/>
    </w:rPr>
  </w:style>
  <w:style w:type="paragraph" w:customStyle="1" w:styleId="p0">
    <w:name w:val="p0"/>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af">
    <w:name w:val="页脚 字符"/>
    <w:autoRedefine/>
    <w:uiPriority w:val="99"/>
    <w:qFormat/>
    <w:rPr>
      <w:kern w:val="2"/>
      <w:sz w:val="18"/>
      <w:szCs w:val="24"/>
    </w:rPr>
  </w:style>
  <w:style w:type="paragraph" w:styleId="af0">
    <w:name w:val="Body Text Indent"/>
    <w:basedOn w:val="a"/>
    <w:link w:val="Char4"/>
    <w:uiPriority w:val="99"/>
    <w:semiHidden/>
    <w:unhideWhenUsed/>
    <w:rsid w:val="00BD2C05"/>
    <w:pPr>
      <w:spacing w:after="120"/>
      <w:ind w:leftChars="200" w:left="420"/>
    </w:pPr>
  </w:style>
  <w:style w:type="character" w:customStyle="1" w:styleId="Char4">
    <w:name w:val="正文文本缩进 Char"/>
    <w:basedOn w:val="a0"/>
    <w:link w:val="af0"/>
    <w:uiPriority w:val="99"/>
    <w:semiHidden/>
    <w:rsid w:val="00BD2C05"/>
    <w:rPr>
      <w:kern w:val="2"/>
      <w:sz w:val="21"/>
      <w:szCs w:val="22"/>
    </w:rPr>
  </w:style>
  <w:style w:type="paragraph" w:styleId="20">
    <w:name w:val="Body Text First Indent 2"/>
    <w:basedOn w:val="af0"/>
    <w:link w:val="2Char0"/>
    <w:qFormat/>
    <w:rsid w:val="00BD2C05"/>
    <w:pPr>
      <w:ind w:leftChars="0" w:left="0" w:firstLine="420"/>
    </w:pPr>
    <w:rPr>
      <w:rFonts w:ascii="仿宋_GB2312" w:eastAsia="仿宋_GB2312" w:hAnsi="Calibri" w:cs="仿宋_GB2312"/>
      <w:szCs w:val="32"/>
    </w:rPr>
  </w:style>
  <w:style w:type="character" w:customStyle="1" w:styleId="2Char0">
    <w:name w:val="正文首行缩进 2 Char"/>
    <w:basedOn w:val="Char4"/>
    <w:link w:val="20"/>
    <w:rsid w:val="00BD2C05"/>
    <w:rPr>
      <w:rFonts w:ascii="仿宋_GB2312" w:eastAsia="仿宋_GB2312" w:hAnsi="Calibri" w:cs="仿宋_GB2312"/>
      <w:kern w:val="2"/>
      <w:sz w:val="21"/>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2" w:uiPriority="0" w:qFormat="1"/>
    <w:lsdException w:name="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autoRedefine/>
    <w:qFormat/>
    <w:rPr>
      <w:rFonts w:ascii="宋体" w:hAnsi="Courier New" w:cs="Courier New"/>
      <w:szCs w:val="21"/>
    </w:rPr>
  </w:style>
  <w:style w:type="paragraph" w:styleId="a4">
    <w:name w:val="Date"/>
    <w:basedOn w:val="a"/>
    <w:next w:val="a"/>
    <w:link w:val="Char0"/>
    <w:autoRedefine/>
    <w:uiPriority w:val="99"/>
    <w:semiHidden/>
    <w:unhideWhenUsed/>
    <w:qFormat/>
    <w:pPr>
      <w:ind w:leftChars="2500" w:left="100"/>
    </w:pPr>
  </w:style>
  <w:style w:type="paragraph" w:styleId="a5">
    <w:name w:val="Balloon Text"/>
    <w:basedOn w:val="a"/>
    <w:link w:val="Char1"/>
    <w:autoRedefine/>
    <w:uiPriority w:val="99"/>
    <w:semiHidden/>
    <w:unhideWhenUsed/>
    <w:qFormat/>
    <w:rPr>
      <w:sz w:val="18"/>
      <w:szCs w:val="18"/>
    </w:rPr>
  </w:style>
  <w:style w:type="paragraph" w:styleId="a6">
    <w:name w:val="footer"/>
    <w:basedOn w:val="a"/>
    <w:link w:val="Char2"/>
    <w:autoRedefine/>
    <w:uiPriority w:val="99"/>
    <w:unhideWhenUsed/>
    <w:qFormat/>
    <w:rsid w:val="00BD2C05"/>
    <w:pPr>
      <w:tabs>
        <w:tab w:val="center" w:pos="4153"/>
        <w:tab w:val="right" w:pos="8306"/>
      </w:tabs>
      <w:snapToGrid w:val="0"/>
      <w:jc w:val="left"/>
    </w:pPr>
    <w:rPr>
      <w:rFonts w:asciiTheme="minorEastAsia" w:hAnsiTheme="minorEastAsia"/>
      <w:sz w:val="28"/>
      <w:szCs w:val="28"/>
    </w:rPr>
  </w:style>
  <w:style w:type="paragraph" w:styleId="a7">
    <w:name w:val="header"/>
    <w:basedOn w:val="a"/>
    <w:link w:val="Char3"/>
    <w:autoRedefine/>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qFormat/>
    <w:pPr>
      <w:spacing w:before="100" w:beforeAutospacing="1" w:after="100" w:afterAutospacing="1"/>
      <w:jc w:val="left"/>
    </w:pPr>
    <w:rPr>
      <w:rFonts w:ascii="Calibri" w:eastAsia="宋体" w:hAnsi="Calibri" w:cs="Times New Roman"/>
      <w:kern w:val="0"/>
      <w:sz w:val="24"/>
      <w:szCs w:val="24"/>
    </w:rPr>
  </w:style>
  <w:style w:type="table" w:styleId="a9">
    <w:name w:val="Table Grid"/>
    <w:basedOn w:val="a1"/>
    <w:autoRedefine/>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autoRedefine/>
    <w:qFormat/>
    <w:rPr>
      <w:b/>
    </w:rPr>
  </w:style>
  <w:style w:type="character" w:styleId="ab">
    <w:name w:val="page number"/>
    <w:autoRedefine/>
    <w:qFormat/>
  </w:style>
  <w:style w:type="character" w:styleId="ac">
    <w:name w:val="Hyperlink"/>
    <w:basedOn w:val="a0"/>
    <w:autoRedefine/>
    <w:uiPriority w:val="99"/>
    <w:unhideWhenUsed/>
    <w:qFormat/>
    <w:rPr>
      <w:color w:val="0000FF" w:themeColor="hyperlink"/>
      <w:u w:val="single"/>
    </w:rPr>
  </w:style>
  <w:style w:type="character" w:customStyle="1" w:styleId="Char0">
    <w:name w:val="日期 Char"/>
    <w:basedOn w:val="a0"/>
    <w:link w:val="a4"/>
    <w:autoRedefine/>
    <w:uiPriority w:val="99"/>
    <w:semiHidden/>
    <w:qFormat/>
  </w:style>
  <w:style w:type="character" w:customStyle="1" w:styleId="Char3">
    <w:name w:val="页眉 Char"/>
    <w:basedOn w:val="a0"/>
    <w:link w:val="a7"/>
    <w:autoRedefine/>
    <w:uiPriority w:val="99"/>
    <w:qFormat/>
    <w:rPr>
      <w:sz w:val="18"/>
      <w:szCs w:val="18"/>
    </w:rPr>
  </w:style>
  <w:style w:type="character" w:customStyle="1" w:styleId="Char2">
    <w:name w:val="页脚 Char"/>
    <w:basedOn w:val="a0"/>
    <w:link w:val="a6"/>
    <w:autoRedefine/>
    <w:uiPriority w:val="99"/>
    <w:qFormat/>
    <w:rsid w:val="00BD2C05"/>
    <w:rPr>
      <w:rFonts w:asciiTheme="minorEastAsia" w:hAnsiTheme="minorEastAsia"/>
      <w:kern w:val="2"/>
      <w:sz w:val="28"/>
      <w:szCs w:val="28"/>
    </w:rPr>
  </w:style>
  <w:style w:type="character" w:customStyle="1" w:styleId="Char1">
    <w:name w:val="批注框文本 Char"/>
    <w:basedOn w:val="a0"/>
    <w:link w:val="a5"/>
    <w:autoRedefine/>
    <w:uiPriority w:val="99"/>
    <w:semiHidden/>
    <w:qFormat/>
    <w:rPr>
      <w:sz w:val="18"/>
      <w:szCs w:val="18"/>
    </w:rPr>
  </w:style>
  <w:style w:type="character" w:customStyle="1" w:styleId="2Char">
    <w:name w:val="标题 2 Char"/>
    <w:basedOn w:val="a0"/>
    <w:link w:val="2"/>
    <w:autoRedefine/>
    <w:uiPriority w:val="9"/>
    <w:qFormat/>
    <w:rPr>
      <w:rFonts w:ascii="宋体" w:eastAsia="宋体" w:hAnsi="宋体" w:cs="宋体"/>
      <w:b/>
      <w:bCs/>
      <w:kern w:val="0"/>
      <w:sz w:val="36"/>
      <w:szCs w:val="36"/>
    </w:rPr>
  </w:style>
  <w:style w:type="paragraph" w:customStyle="1" w:styleId="Ad">
    <w:name w:val="正文 A"/>
    <w:autoRedefine/>
    <w:qFormat/>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ae">
    <w:name w:val="无"/>
    <w:autoRedefine/>
    <w:qFormat/>
  </w:style>
  <w:style w:type="character" w:customStyle="1" w:styleId="Hyperlink0">
    <w:name w:val="Hyperlink.0"/>
    <w:basedOn w:val="ae"/>
    <w:autoRedefine/>
    <w:qFormat/>
    <w:rPr>
      <w:rFonts w:ascii="宋体" w:eastAsia="宋体" w:hAnsi="宋体" w:cs="宋体"/>
      <w:color w:val="000000"/>
      <w:kern w:val="0"/>
      <w:sz w:val="24"/>
      <w:szCs w:val="24"/>
      <w:u w:val="single" w:color="000000"/>
      <w:lang w:val="en-US"/>
    </w:rPr>
  </w:style>
  <w:style w:type="table" w:customStyle="1" w:styleId="TableNormal">
    <w:name w:val="Table Normal"/>
    <w:autoRedefine/>
    <w:qFormat/>
    <w:rPr>
      <w:rFonts w:ascii="Times New Roman" w:hAnsi="Times New Roman" w:cs="Times New Roman"/>
    </w:rPr>
    <w:tblPr>
      <w:tblCellMar>
        <w:top w:w="0" w:type="dxa"/>
        <w:left w:w="0" w:type="dxa"/>
        <w:bottom w:w="0" w:type="dxa"/>
        <w:right w:w="0" w:type="dxa"/>
      </w:tblCellMar>
    </w:tblPr>
  </w:style>
  <w:style w:type="character" w:customStyle="1" w:styleId="1Char">
    <w:name w:val="标题 1 Char"/>
    <w:basedOn w:val="a0"/>
    <w:link w:val="1"/>
    <w:autoRedefine/>
    <w:uiPriority w:val="9"/>
    <w:qFormat/>
    <w:rPr>
      <w:b/>
      <w:bCs/>
      <w:kern w:val="44"/>
      <w:sz w:val="44"/>
      <w:szCs w:val="44"/>
    </w:rPr>
  </w:style>
  <w:style w:type="character" w:customStyle="1" w:styleId="Char">
    <w:name w:val="纯文本 Char"/>
    <w:basedOn w:val="a0"/>
    <w:link w:val="a3"/>
    <w:autoRedefine/>
    <w:qFormat/>
    <w:rPr>
      <w:rFonts w:ascii="宋体" w:hAnsi="Courier New" w:cs="Courier New"/>
      <w:szCs w:val="21"/>
    </w:rPr>
  </w:style>
  <w:style w:type="character" w:customStyle="1" w:styleId="Char10">
    <w:name w:val="纯文本 Char1"/>
    <w:basedOn w:val="a0"/>
    <w:autoRedefine/>
    <w:uiPriority w:val="99"/>
    <w:semiHidden/>
    <w:qFormat/>
    <w:rPr>
      <w:rFonts w:ascii="宋体" w:eastAsia="宋体" w:hAnsi="Courier New" w:cs="Courier New"/>
      <w:szCs w:val="21"/>
    </w:rPr>
  </w:style>
  <w:style w:type="character" w:customStyle="1" w:styleId="Heading21">
    <w:name w:val="Heading #2|1_"/>
    <w:basedOn w:val="a0"/>
    <w:link w:val="Heading210"/>
    <w:autoRedefine/>
    <w:qFormat/>
    <w:rPr>
      <w:rFonts w:ascii="宋体" w:eastAsia="宋体" w:hAnsi="宋体" w:cs="宋体"/>
      <w:sz w:val="44"/>
      <w:szCs w:val="44"/>
      <w:lang w:val="zh-TW" w:eastAsia="zh-TW" w:bidi="zh-TW"/>
    </w:rPr>
  </w:style>
  <w:style w:type="paragraph" w:customStyle="1" w:styleId="Heading210">
    <w:name w:val="Heading #2|1"/>
    <w:basedOn w:val="a"/>
    <w:link w:val="Heading21"/>
    <w:autoRedefine/>
    <w:qFormat/>
    <w:pPr>
      <w:spacing w:after="480" w:line="677" w:lineRule="exact"/>
      <w:jc w:val="center"/>
      <w:outlineLvl w:val="1"/>
    </w:pPr>
    <w:rPr>
      <w:rFonts w:ascii="宋体" w:eastAsia="宋体" w:hAnsi="宋体" w:cs="宋体"/>
      <w:sz w:val="44"/>
      <w:szCs w:val="44"/>
      <w:lang w:val="zh-TW" w:eastAsia="zh-TW" w:bidi="zh-TW"/>
    </w:rPr>
  </w:style>
  <w:style w:type="character" w:customStyle="1" w:styleId="Bodytext1">
    <w:name w:val="Body text|1_"/>
    <w:basedOn w:val="a0"/>
    <w:link w:val="Bodytext10"/>
    <w:autoRedefine/>
    <w:qFormat/>
    <w:rPr>
      <w:rFonts w:ascii="宋体" w:eastAsia="宋体" w:hAnsi="宋体" w:cs="宋体"/>
      <w:sz w:val="30"/>
      <w:szCs w:val="30"/>
      <w:lang w:val="zh-TW" w:eastAsia="zh-TW" w:bidi="zh-TW"/>
    </w:rPr>
  </w:style>
  <w:style w:type="paragraph" w:customStyle="1" w:styleId="Bodytext10">
    <w:name w:val="Body text|1"/>
    <w:basedOn w:val="a"/>
    <w:link w:val="Bodytext1"/>
    <w:autoRedefine/>
    <w:qFormat/>
    <w:pPr>
      <w:spacing w:line="360" w:lineRule="auto"/>
      <w:ind w:firstLine="400"/>
      <w:jc w:val="left"/>
    </w:pPr>
    <w:rPr>
      <w:rFonts w:ascii="宋体" w:eastAsia="宋体" w:hAnsi="宋体" w:cs="宋体"/>
      <w:sz w:val="30"/>
      <w:szCs w:val="30"/>
      <w:lang w:val="zh-TW" w:eastAsia="zh-TW" w:bidi="zh-TW"/>
    </w:rPr>
  </w:style>
  <w:style w:type="paragraph" w:customStyle="1" w:styleId="p0">
    <w:name w:val="p0"/>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af">
    <w:name w:val="页脚 字符"/>
    <w:autoRedefine/>
    <w:uiPriority w:val="99"/>
    <w:qFormat/>
    <w:rPr>
      <w:kern w:val="2"/>
      <w:sz w:val="18"/>
      <w:szCs w:val="24"/>
    </w:rPr>
  </w:style>
  <w:style w:type="paragraph" w:styleId="af0">
    <w:name w:val="Body Text Indent"/>
    <w:basedOn w:val="a"/>
    <w:link w:val="Char4"/>
    <w:uiPriority w:val="99"/>
    <w:semiHidden/>
    <w:unhideWhenUsed/>
    <w:rsid w:val="00BD2C05"/>
    <w:pPr>
      <w:spacing w:after="120"/>
      <w:ind w:leftChars="200" w:left="420"/>
    </w:pPr>
  </w:style>
  <w:style w:type="character" w:customStyle="1" w:styleId="Char4">
    <w:name w:val="正文文本缩进 Char"/>
    <w:basedOn w:val="a0"/>
    <w:link w:val="af0"/>
    <w:uiPriority w:val="99"/>
    <w:semiHidden/>
    <w:rsid w:val="00BD2C05"/>
    <w:rPr>
      <w:kern w:val="2"/>
      <w:sz w:val="21"/>
      <w:szCs w:val="22"/>
    </w:rPr>
  </w:style>
  <w:style w:type="paragraph" w:styleId="20">
    <w:name w:val="Body Text First Indent 2"/>
    <w:basedOn w:val="af0"/>
    <w:link w:val="2Char0"/>
    <w:qFormat/>
    <w:rsid w:val="00BD2C05"/>
    <w:pPr>
      <w:ind w:leftChars="0" w:left="0" w:firstLine="420"/>
    </w:pPr>
    <w:rPr>
      <w:rFonts w:ascii="仿宋_GB2312" w:eastAsia="仿宋_GB2312" w:hAnsi="Calibri" w:cs="仿宋_GB2312"/>
      <w:szCs w:val="32"/>
    </w:rPr>
  </w:style>
  <w:style w:type="character" w:customStyle="1" w:styleId="2Char0">
    <w:name w:val="正文首行缩进 2 Char"/>
    <w:basedOn w:val="Char4"/>
    <w:link w:val="20"/>
    <w:rsid w:val="00BD2C05"/>
    <w:rPr>
      <w:rFonts w:ascii="仿宋_GB2312" w:eastAsia="仿宋_GB2312" w:hAnsi="Calibri" w:cs="仿宋_GB2312"/>
      <w:kern w:val="2"/>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94F8B-6D86-406E-9B0F-DC70FC187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1718</Words>
  <Characters>9797</Characters>
  <Application>Microsoft Office Word</Application>
  <DocSecurity>0</DocSecurity>
  <Lines>81</Lines>
  <Paragraphs>22</Paragraphs>
  <ScaleCrop>false</ScaleCrop>
  <Company>Microsoft</Company>
  <LinksUpToDate>false</LinksUpToDate>
  <CharactersWithSpaces>11493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秦杭</dc:creator>
  <cp:lastModifiedBy>PC</cp:lastModifiedBy>
  <cp:revision>3</cp:revision>
  <cp:lastPrinted>2024-05-07T09:34:00Z</cp:lastPrinted>
  <dcterms:created xsi:type="dcterms:W3CDTF">2024-05-21T07:52:00Z</dcterms:created>
  <dcterms:modified xsi:type="dcterms:W3CDTF">2024-05-21T07:58:00Z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18F18A02A52A4A50B52E0A2ABF6B853D_13</vt:lpwstr>
  </property>
</Properties>
</file>