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B39A86">
      <w:pPr>
        <w:rPr>
          <w:rFonts w:hint="eastAsia" w:ascii="方正公文小标宋" w:hAnsi="方正公文小标宋" w:eastAsia="方正公文小标宋" w:cs="方正公文小标宋"/>
          <w:sz w:val="36"/>
          <w:szCs w:val="44"/>
        </w:rPr>
      </w:pPr>
      <w:r>
        <w:rPr>
          <w:rFonts w:hint="eastAsia" w:ascii="方正公文小标宋" w:hAnsi="方正公文小标宋" w:eastAsia="方正公文小标宋" w:cs="方正公文小标宋"/>
          <w:kern w:val="0"/>
          <w:sz w:val="36"/>
          <w:szCs w:val="44"/>
        </w:rPr>
        <w:t>2026年江苏省优质工程奖扬子杯申报项目清单</w:t>
      </w:r>
    </w:p>
    <w:p w14:paraId="793BB5CE">
      <w:pPr>
        <w:rPr>
          <w:rFonts w:hint="eastAsia"/>
          <w:kern w:val="0"/>
        </w:rPr>
      </w:pPr>
      <w:r>
        <w:rPr>
          <w:rFonts w:hint="eastAsia"/>
          <w:kern w:val="0"/>
          <w:sz w:val="24"/>
          <w:szCs w:val="32"/>
        </w:rPr>
        <w:t>申报类别：</w:t>
      </w:r>
      <w:r>
        <w:rPr>
          <w:rFonts w:hint="eastAsia"/>
          <w:kern w:val="0"/>
          <w:sz w:val="24"/>
          <w:szCs w:val="32"/>
          <w:lang w:val="en-US" w:eastAsia="zh-CN"/>
        </w:rPr>
        <w:t>园林</w:t>
      </w:r>
      <w:r>
        <w:rPr>
          <w:rFonts w:hint="eastAsia"/>
          <w:kern w:val="0"/>
          <w:sz w:val="24"/>
          <w:szCs w:val="32"/>
        </w:rPr>
        <w:t>工程</w:t>
      </w:r>
    </w:p>
    <w:p w14:paraId="178B3555">
      <w:pPr>
        <w:jc w:val="both"/>
        <w:rPr>
          <w:rFonts w:hint="default"/>
          <w:b/>
          <w:bCs w:val="0"/>
          <w:kern w:val="0"/>
          <w:lang w:val="en-US" w:eastAsia="zh-CN"/>
        </w:rPr>
      </w:pPr>
    </w:p>
    <w:tbl>
      <w:tblPr>
        <w:tblStyle w:val="13"/>
        <w:tblW w:w="1431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353"/>
        <w:gridCol w:w="1265"/>
        <w:gridCol w:w="2176"/>
        <w:gridCol w:w="1133"/>
        <w:gridCol w:w="1691"/>
        <w:gridCol w:w="1852"/>
        <w:gridCol w:w="2127"/>
        <w:gridCol w:w="1897"/>
      </w:tblGrid>
      <w:tr w14:paraId="1500F6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 w14:paraId="02BAA9B5">
            <w:pPr>
              <w:widowControl w:val="0"/>
              <w:rPr>
                <w:rFonts w:hint="default" w:ascii="Times New Roman" w:hAnsi="Times New Roman" w:eastAsia="黑体" w:cs="Times New Roman"/>
                <w:kern w:val="0"/>
                <w:sz w:val="24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4"/>
              </w:rPr>
              <w:t>序号</w:t>
            </w:r>
          </w:p>
        </w:tc>
        <w:tc>
          <w:tcPr>
            <w:tcW w:w="1353" w:type="dxa"/>
            <w:vAlign w:val="center"/>
          </w:tcPr>
          <w:p w14:paraId="4E0D409F">
            <w:pPr>
              <w:widowControl w:val="0"/>
              <w:rPr>
                <w:rFonts w:hint="default" w:ascii="Times New Roman" w:hAnsi="Times New Roman" w:eastAsia="黑体" w:cs="Times New Roman"/>
                <w:kern w:val="0"/>
                <w:sz w:val="24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4"/>
              </w:rPr>
              <w:t>申报单位</w:t>
            </w:r>
          </w:p>
        </w:tc>
        <w:tc>
          <w:tcPr>
            <w:tcW w:w="1265" w:type="dxa"/>
            <w:vAlign w:val="center"/>
          </w:tcPr>
          <w:p w14:paraId="6D74F29F">
            <w:pPr>
              <w:widowControl w:val="0"/>
              <w:rPr>
                <w:rFonts w:hint="default" w:ascii="Times New Roman" w:hAnsi="Times New Roman" w:eastAsia="黑体" w:cs="Times New Roman"/>
                <w:kern w:val="0"/>
                <w:sz w:val="24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4"/>
              </w:rPr>
              <w:t>工程名称</w:t>
            </w:r>
          </w:p>
        </w:tc>
        <w:tc>
          <w:tcPr>
            <w:tcW w:w="2176" w:type="dxa"/>
            <w:vAlign w:val="center"/>
          </w:tcPr>
          <w:p w14:paraId="3A8CACF5">
            <w:pPr>
              <w:widowControl w:val="0"/>
              <w:rPr>
                <w:rFonts w:hint="default" w:ascii="Times New Roman" w:hAnsi="Times New Roman" w:eastAsia="黑体" w:cs="Times New Roman"/>
                <w:kern w:val="0"/>
                <w:sz w:val="24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4"/>
              </w:rPr>
              <w:t>项目概况</w:t>
            </w:r>
          </w:p>
        </w:tc>
        <w:tc>
          <w:tcPr>
            <w:tcW w:w="1133" w:type="dxa"/>
            <w:vAlign w:val="center"/>
          </w:tcPr>
          <w:p w14:paraId="41D3FBC2">
            <w:pPr>
              <w:widowControl w:val="0"/>
              <w:rPr>
                <w:rFonts w:hint="default" w:ascii="Times New Roman" w:hAnsi="Times New Roman" w:eastAsia="黑体" w:cs="Times New Roman"/>
                <w:kern w:val="0"/>
                <w:sz w:val="24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4"/>
              </w:rPr>
              <w:t>项目竣工验收合格时间</w:t>
            </w:r>
          </w:p>
        </w:tc>
        <w:tc>
          <w:tcPr>
            <w:tcW w:w="1691" w:type="dxa"/>
            <w:vAlign w:val="center"/>
          </w:tcPr>
          <w:p w14:paraId="7C6E29A0">
            <w:pPr>
              <w:widowControl w:val="0"/>
              <w:rPr>
                <w:rFonts w:hint="default" w:ascii="Times New Roman" w:hAnsi="Times New Roman" w:eastAsia="黑体" w:cs="Times New Roman"/>
                <w:kern w:val="0"/>
                <w:sz w:val="24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4"/>
              </w:rPr>
              <w:t>项目亮点</w:t>
            </w:r>
          </w:p>
        </w:tc>
        <w:tc>
          <w:tcPr>
            <w:tcW w:w="1852" w:type="dxa"/>
            <w:vAlign w:val="center"/>
          </w:tcPr>
          <w:p w14:paraId="293FCB66">
            <w:pPr>
              <w:widowControl w:val="0"/>
              <w:rPr>
                <w:rFonts w:hint="default" w:ascii="Times New Roman" w:hAnsi="Times New Roman" w:eastAsia="黑体" w:cs="Times New Roman"/>
                <w:kern w:val="0"/>
                <w:sz w:val="24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4"/>
              </w:rPr>
              <w:t>项目成效</w:t>
            </w:r>
          </w:p>
        </w:tc>
        <w:tc>
          <w:tcPr>
            <w:tcW w:w="2127" w:type="dxa"/>
            <w:vAlign w:val="center"/>
          </w:tcPr>
          <w:p w14:paraId="0F6ACDAB">
            <w:pPr>
              <w:widowControl w:val="0"/>
              <w:rPr>
                <w:rFonts w:hint="default" w:ascii="Times New Roman" w:hAnsi="Times New Roman" w:eastAsia="黑体" w:cs="Times New Roman"/>
                <w:kern w:val="0"/>
                <w:sz w:val="24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4"/>
              </w:rPr>
              <w:t>项目特征图片</w:t>
            </w:r>
          </w:p>
          <w:p w14:paraId="0F60C2C9">
            <w:pPr>
              <w:widowControl w:val="0"/>
              <w:rPr>
                <w:rFonts w:hint="default" w:ascii="Times New Roman" w:hAnsi="Times New Roman" w:eastAsia="黑体" w:cs="Times New Roman"/>
                <w:kern w:val="0"/>
                <w:sz w:val="24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4"/>
              </w:rPr>
              <w:t>（每个项目2张）</w:t>
            </w:r>
          </w:p>
        </w:tc>
        <w:tc>
          <w:tcPr>
            <w:tcW w:w="1897" w:type="dxa"/>
            <w:vAlign w:val="center"/>
          </w:tcPr>
          <w:p w14:paraId="0E1D4C33">
            <w:pPr>
              <w:widowControl w:val="0"/>
              <w:rPr>
                <w:rFonts w:hint="default" w:ascii="Times New Roman" w:hAnsi="Times New Roman" w:eastAsia="黑体" w:cs="Times New Roman"/>
                <w:color w:val="FF0000"/>
                <w:kern w:val="0"/>
                <w:sz w:val="24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4"/>
              </w:rPr>
              <w:t>图片文字说明</w:t>
            </w:r>
          </w:p>
        </w:tc>
      </w:tr>
      <w:tr w14:paraId="244399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8" w:hRule="atLeast"/>
        </w:trPr>
        <w:tc>
          <w:tcPr>
            <w:tcW w:w="817" w:type="dxa"/>
            <w:vAlign w:val="center"/>
          </w:tcPr>
          <w:p w14:paraId="4AC942F7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353" w:type="dxa"/>
            <w:shd w:val="clear"/>
            <w:vAlign w:val="center"/>
          </w:tcPr>
          <w:p w14:paraId="7B91D938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eastAsia="宋体" w:cs="宋体"/>
                <w:bCs/>
                <w:snapToGrid w:val="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snapToGrid w:val="0"/>
                <w:kern w:val="0"/>
                <w:sz w:val="24"/>
                <w:szCs w:val="24"/>
                <w:lang w:val="en-US" w:eastAsia="zh-CN"/>
              </w:rPr>
              <w:t>中国建筑第八工程局有限公司</w:t>
            </w:r>
          </w:p>
        </w:tc>
        <w:tc>
          <w:tcPr>
            <w:tcW w:w="1265" w:type="dxa"/>
            <w:shd w:val="clear"/>
            <w:vAlign w:val="center"/>
          </w:tcPr>
          <w:p w14:paraId="34D5B85E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eastAsia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花果园艺街</w:t>
            </w:r>
          </w:p>
        </w:tc>
        <w:tc>
          <w:tcPr>
            <w:tcW w:w="2176" w:type="dxa"/>
            <w:shd w:val="clear"/>
            <w:vAlign w:val="center"/>
          </w:tcPr>
          <w:p w14:paraId="4C234452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面积：总建筑面积约2 万平方米，由8 个中式院落围合而成，沿街商铺与内院民宿组合布局。</w:t>
            </w:r>
          </w:p>
          <w:p w14:paraId="667C738C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业态：共设69 间民宿、50 余家商铺，配套非遗馆、创意书店、花艺沙龙、手作工坊与特色餐饮，可一站式满足 “吃住行游购娱”。</w:t>
            </w:r>
          </w:p>
          <w:p w14:paraId="38C66655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eastAsia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3" w:type="dxa"/>
            <w:shd w:val="clear"/>
            <w:vAlign w:val="center"/>
          </w:tcPr>
          <w:p w14:paraId="4045606C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eastAsia="宋体" w:cs="宋体"/>
                <w:bCs/>
                <w:snapToGrid w:val="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snapToGrid w:val="0"/>
                <w:kern w:val="0"/>
                <w:sz w:val="24"/>
                <w:szCs w:val="24"/>
                <w:lang w:val="en-US" w:eastAsia="zh-CN"/>
              </w:rPr>
              <w:t>2022年8月30日</w:t>
            </w:r>
          </w:p>
        </w:tc>
        <w:tc>
          <w:tcPr>
            <w:tcW w:w="1691" w:type="dxa"/>
            <w:shd w:val="clear"/>
            <w:vAlign w:val="center"/>
          </w:tcPr>
          <w:p w14:paraId="3BB4C7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花果园艺街以山海园艺为魂、丝路街巷为形、现代生活为用，是第十二届江苏省园艺博览会 “山海连云・丝路绿韵” 主题下，集生态园艺、文化体验、品质消费于一体的沉浸式园艺商业街区典范。</w:t>
            </w:r>
          </w:p>
          <w:p w14:paraId="6C1904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设计以水为脉、街为轴、院为核，承袭连云港海滨石砌民居肌理与传统营造技艺，融合古典园林藏景、借景、框景手法，以青石板铺装、亭廊连缀、花木掩映，构建移步换景的街巷院落格局，再现东方市井园林的雅致气韵。</w:t>
            </w:r>
          </w:p>
          <w:p w14:paraId="3F6EBF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街区深度践行 “园艺 +” ，将精品花艺、特色园艺、非遗文创、在地美食与轻奢民宿有机植入，以 8 大院落、水街、多元业态构筑 “花果福地” 生活场景；跨水景观桥与滨水绿带相映成趣，实现生态景观与商业活力的共生共荣。</w:t>
            </w:r>
          </w:p>
          <w:p w14:paraId="679A5F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设计兼顾文化传承与当代体验，以低影响开发营造绿色低碳空间，用现代美学转译传统街巷神韵，打造可游、可赏、可购、可居的园博活力节点，成为彰显港城气质、引领园艺生活方式的标杆性街区。</w:t>
            </w:r>
          </w:p>
          <w:p w14:paraId="261C6B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both"/>
              <w:textAlignment w:val="auto"/>
              <w:rPr>
                <w:rFonts w:hint="default" w:ascii="Times New Roman" w:hAnsi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1852" w:type="dxa"/>
            <w:shd w:val="clear"/>
            <w:vAlign w:val="center"/>
          </w:tcPr>
          <w:p w14:paraId="6F2B6F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一、文化融合铸魂，地域特色风貌精准呈现</w:t>
            </w:r>
          </w:p>
          <w:p w14:paraId="0B4541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街区深度嵌入连云港本土文化基因，建筑设计引用海滨石砌民居经典元素，结合仿古建筑传统营造技艺，木质斗拱、挑檐与水巷亭廊相映，实现历史传承与现代功能的融合</w:t>
            </w:r>
          </w:p>
          <w:p w14:paraId="3A523A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二、业态集群赋能，文旅消费活力全面释放</w:t>
            </w:r>
          </w:p>
          <w:p w14:paraId="703A01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构建“园艺+商业+文旅”多元业态体系，63家商铺、49家商户全面运营，涵盖特色餐饮、文创潮玩、民宿住宿、盆景展览等业态，实现“吃住行游购娱”一站式服务。</w:t>
            </w:r>
          </w:p>
          <w:p w14:paraId="18717A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三、生态提质增效，园艺示范价值充分彰显</w:t>
            </w:r>
          </w:p>
          <w:p w14:paraId="62EF70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立足园艺博览核心定位，街区绿化采用本土适配植物，打造三季有花、四季常绿的景观带，搭配花箱布景、园艺小品与景观灯带，形成层次分明的沿街生态景观</w:t>
            </w:r>
          </w:p>
          <w:p w14:paraId="7C17DA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四</w:t>
            </w: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、区域联动提速，全域旅游格局加速成型</w:t>
            </w:r>
          </w:p>
          <w:p w14:paraId="74C83C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花果园艺街地处花果山南麓，毗邻花果山、渔湾、孔雀沟等景区，作为园博园核心配套，有效串联周边景点，形成“山、水、园”联动的生态旅游黄金地带。</w:t>
            </w:r>
          </w:p>
          <w:p w14:paraId="471850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default" w:ascii="Times New Roman" w:hAnsi="Times New Roman" w:eastAsia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127" w:type="dxa"/>
            <w:shd w:val="clear"/>
            <w:vAlign w:val="center"/>
          </w:tcPr>
          <w:p w14:paraId="2A499E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Times New Roman" w:hAnsi="Times New Roman" w:eastAsia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212850" cy="909955"/>
                  <wp:effectExtent l="0" t="0" r="6350" b="4445"/>
                  <wp:docPr id="38" name="图片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/>
                        </pic:nvPicPr>
                        <pic:blipFill>
                          <a:blip r:embed="rId4"/>
                        </pic:blipFill>
                        <pic:spPr>
                          <a:xfrm>
                            <a:off x="0" y="0"/>
                            <a:ext cx="1212850" cy="90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D3FE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Times New Roman" w:hAnsi="Times New Roman" w:eastAsia="宋体"/>
                <w:kern w:val="0"/>
                <w:sz w:val="24"/>
                <w:szCs w:val="24"/>
                <w:lang w:eastAsia="zh-CN"/>
              </w:rPr>
            </w:pPr>
          </w:p>
          <w:p w14:paraId="2B3E42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193800" cy="895350"/>
                  <wp:effectExtent l="0" t="0" r="0" b="6350"/>
                  <wp:docPr id="47" name="图片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/>
                          <pic:cNvPicPr/>
                        </pic:nvPicPr>
                        <pic:blipFill>
                          <a:blip r:embed="rId5"/>
                        </pic:blipFill>
                        <pic:spPr>
                          <a:xfrm>
                            <a:off x="0" y="0"/>
                            <a:ext cx="119380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shd w:val="clear"/>
            <w:vAlign w:val="center"/>
          </w:tcPr>
          <w:p w14:paraId="19014E34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eastAsia" w:ascii="Times New Roman" w:hAnsi="Times New Roman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  <w:t>图片1：</w:t>
            </w: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整体呈现园中有街、街融景中、一步一景、四季有绿的沉浸式园艺街区风貌</w:t>
            </w:r>
            <w:r>
              <w:rPr>
                <w:rFonts w:hint="eastAsia" w:ascii="Times New Roman" w:hAnsi="Times New Roman"/>
                <w:kern w:val="0"/>
                <w:sz w:val="24"/>
                <w:szCs w:val="24"/>
                <w:lang w:eastAsia="zh-CN"/>
              </w:rPr>
              <w:t>。</w:t>
            </w:r>
          </w:p>
          <w:p w14:paraId="0053CCAD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eastAsia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  <w:t>图片2：</w:t>
            </w:r>
            <w:r>
              <w:rPr>
                <w:rFonts w:hint="eastAsia" w:cs="宋体"/>
                <w:sz w:val="24"/>
                <w:szCs w:val="24"/>
                <w:lang w:val="en-US" w:eastAsia="zh-CN"/>
              </w:rPr>
              <w:t>这张航拍全景图，展现了花果园艺街整体夜景格局与亮化成效，尽显街区“灯火织巷、星落园博”的</w:t>
            </w:r>
          </w:p>
          <w:p w14:paraId="5C868CDF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eastAsia" w:cs="宋体"/>
                <w:sz w:val="24"/>
                <w:szCs w:val="24"/>
                <w:lang w:val="en-US" w:eastAsia="zh-CN"/>
              </w:rPr>
            </w:pPr>
            <w:r>
              <w:rPr>
                <w:rFonts w:hint="eastAsia" w:cs="宋体"/>
                <w:sz w:val="24"/>
                <w:szCs w:val="24"/>
                <w:lang w:val="en-US" w:eastAsia="zh-CN"/>
              </w:rPr>
              <w:t>夜间风貌。</w:t>
            </w:r>
          </w:p>
          <w:p w14:paraId="7D93D871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eastAsia" w:cs="宋体"/>
                <w:sz w:val="24"/>
                <w:szCs w:val="24"/>
                <w:lang w:val="en-US" w:eastAsia="zh-CN"/>
              </w:rPr>
            </w:pPr>
          </w:p>
          <w:p w14:paraId="14EECF0F">
            <w:pPr>
              <w:pStyle w:val="2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宋体" w:hAnsi="宋体" w:eastAsia="宋体" w:cs="宋体"/>
                <w:b/>
                <w:bCs/>
                <w:kern w:val="44"/>
                <w:sz w:val="24"/>
                <w:szCs w:val="24"/>
                <w:lang w:val="en-US" w:eastAsia="zh-CN" w:bidi="ar-SA"/>
              </w:rPr>
            </w:pPr>
          </w:p>
        </w:tc>
      </w:tr>
      <w:tr w14:paraId="0BF4A2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8" w:hRule="atLeast"/>
        </w:trPr>
        <w:tc>
          <w:tcPr>
            <w:tcW w:w="817" w:type="dxa"/>
            <w:vAlign w:val="center"/>
          </w:tcPr>
          <w:p w14:paraId="0775A59D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353" w:type="dxa"/>
            <w:shd w:val="clear"/>
            <w:vAlign w:val="center"/>
          </w:tcPr>
          <w:p w14:paraId="5DF47BFD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eastAsia="宋体" w:cs="Times New Roman"/>
                <w:bCs/>
                <w:snapToGrid w:val="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napToGrid w:val="0"/>
                <w:kern w:val="0"/>
                <w:sz w:val="24"/>
                <w:szCs w:val="24"/>
              </w:rPr>
              <w:t>连云港鑫源园林绿化工程有限公司</w:t>
            </w:r>
          </w:p>
        </w:tc>
        <w:tc>
          <w:tcPr>
            <w:tcW w:w="1265" w:type="dxa"/>
            <w:shd w:val="clear"/>
            <w:vAlign w:val="center"/>
          </w:tcPr>
          <w:p w14:paraId="1E8E718C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eastAsia="宋体" w:cs="Times New Roman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高端化学制剂产业园(中华药港二期)绿化工程</w:t>
            </w:r>
          </w:p>
        </w:tc>
        <w:tc>
          <w:tcPr>
            <w:tcW w:w="2176" w:type="dxa"/>
            <w:shd w:val="clear"/>
            <w:vAlign w:val="center"/>
          </w:tcPr>
          <w:p w14:paraId="3A02533C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eastAsia="宋体" w:cs="Times New Roman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高端化学制剂产业园绿化工程为园区配套重点绿化景观工程，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绿化面积 4.65 万㎡，工期 120 天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eastAsia="zh-CN"/>
              </w:rPr>
              <w:t>，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含场地清理、土壤改良、苗木栽植及养护，栽植乔木 1820 余株、铺植草坪 4.5 万㎡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eastAsia="zh-CN"/>
              </w:rPr>
              <w:t>。</w:t>
            </w:r>
          </w:p>
        </w:tc>
        <w:tc>
          <w:tcPr>
            <w:tcW w:w="1133" w:type="dxa"/>
            <w:shd w:val="clear"/>
            <w:vAlign w:val="center"/>
          </w:tcPr>
          <w:p w14:paraId="0CBDF0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eastAsia="宋体" w:cs="Times New Roman"/>
                <w:bCs/>
                <w:snapToGrid w:val="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2024年12月12日</w:t>
            </w:r>
          </w:p>
        </w:tc>
        <w:tc>
          <w:tcPr>
            <w:tcW w:w="1691" w:type="dxa"/>
            <w:shd w:val="clear"/>
            <w:vAlign w:val="center"/>
          </w:tcPr>
          <w:p w14:paraId="63BD3897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 w14:paraId="04DED67A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adjustRightInd/>
              <w:snapToGrid/>
              <w:spacing w:line="280" w:lineRule="exact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本次绿化工程精准匹配高端化学制剂产业园发展需求，通过土壤改良彻底改善园区盐碱贫瘠土质，显著提升苗木成活率及绿化长效养护效果。科学的多层景观配置形成整洁规整、层次丰富的园区绿化风貌，兼具生态净化与形象提升作用。同时标准化规范施工圆满保障工程品质、安全及文明施工，全面提升园区生态环境品质与整体形象。</w:t>
            </w:r>
          </w:p>
          <w:p w14:paraId="3082C336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adjustRightInd/>
              <w:snapToGrid/>
              <w:spacing w:line="280" w:lineRule="exact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 w14:paraId="2663408D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adjustRightInd/>
              <w:snapToGrid/>
              <w:spacing w:line="280" w:lineRule="exact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1852" w:type="dxa"/>
            <w:shd w:val="clear"/>
            <w:vAlign w:val="center"/>
          </w:tcPr>
          <w:p w14:paraId="775DA0B7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本工程有效治理园区土壤盐碱贫瘠问题，苗木成活率显著提升，绿化长势稳定持久。构建层次丰富、整洁精致的立体景观，实现产业风貌与生态绿化完美融合。全程标准化精细管控，施工安全文明、资料完整可追溯。经两年养护检验景观效果优良，形成可复制的产业园绿化施工范式，全面提升园区生态品质与整体形象。</w:t>
            </w:r>
          </w:p>
          <w:p w14:paraId="5814B485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eastAsia="宋体" w:cs="Times New Roman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项目被评为2024年度连云港市园林绿化优质工程。</w:t>
            </w:r>
          </w:p>
        </w:tc>
        <w:tc>
          <w:tcPr>
            <w:tcW w:w="2127" w:type="dxa"/>
            <w:shd w:val="clear"/>
            <w:vAlign w:val="center"/>
          </w:tcPr>
          <w:p w14:paraId="18B68F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207135" cy="904240"/>
                  <wp:effectExtent l="0" t="0" r="12065" b="10160"/>
                  <wp:docPr id="13" name="图片 13" descr="DJI_0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JI_011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135" cy="90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207135" cy="904240"/>
                  <wp:effectExtent l="0" t="0" r="12065" b="10160"/>
                  <wp:docPr id="14" name="图片 14" descr="DJI_0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JI_012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135" cy="90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shd w:val="clear"/>
            <w:vAlign w:val="center"/>
          </w:tcPr>
          <w:p w14:paraId="65FCEE60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  <w:t>图1正门规整对称式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布局，多层级立体配置</w:t>
            </w: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  <w:t>层次丰富，尽显生态与产业融合之美。</w:t>
            </w:r>
          </w:p>
          <w:p w14:paraId="3D78028A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</w:pPr>
          </w:p>
          <w:p w14:paraId="2945CBD3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  <w:t xml:space="preserve">图2 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园区绿化与建筑布局深度融合，以规整绿带构建层次分明的生态基底。</w:t>
            </w:r>
          </w:p>
        </w:tc>
      </w:tr>
      <w:tr w14:paraId="752692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8" w:hRule="atLeast"/>
        </w:trPr>
        <w:tc>
          <w:tcPr>
            <w:tcW w:w="817" w:type="dxa"/>
            <w:vAlign w:val="center"/>
          </w:tcPr>
          <w:p w14:paraId="2CB3CF59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353" w:type="dxa"/>
            <w:shd w:val="clear"/>
            <w:vAlign w:val="center"/>
          </w:tcPr>
          <w:p w14:paraId="70E4F55A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adjustRightInd/>
              <w:snapToGrid/>
              <w:spacing w:line="280" w:lineRule="exact"/>
              <w:jc w:val="both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江苏金海园林生态科技有限公司</w:t>
            </w:r>
          </w:p>
          <w:p w14:paraId="0E0CD0A1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65" w:type="dxa"/>
            <w:shd w:val="clear"/>
            <w:vAlign w:val="center"/>
          </w:tcPr>
          <w:p w14:paraId="5BF9E2B1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adjustRightInd/>
              <w:snapToGrid/>
              <w:spacing w:line="280" w:lineRule="exact"/>
              <w:jc w:val="both"/>
              <w:textAlignment w:val="auto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第十二届园博园外围环境提升整治工程(花果山大道及周边段)园林绿化工程总承包（EPC）</w:t>
            </w:r>
          </w:p>
        </w:tc>
        <w:tc>
          <w:tcPr>
            <w:tcW w:w="2176" w:type="dxa"/>
            <w:shd w:val="clear"/>
            <w:vAlign w:val="center"/>
          </w:tcPr>
          <w:p w14:paraId="08AEFE1D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adjustRightInd/>
              <w:snapToGrid/>
              <w:spacing w:line="280" w:lineRule="exact"/>
              <w:jc w:val="both"/>
              <w:textAlignment w:val="auto"/>
              <w:rPr>
                <w:rFonts w:hint="default" w:ascii="Times New Roman" w:hAnsi="Times New Roman" w:eastAsia="宋体" w:cs="Times New Roman"/>
                <w:bCs/>
                <w:i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总建设范围涵盖花果山大道（长7100米）及霞辉路、文苑路、宾馆北路等周边道路。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施工内容主要包括四个口袋公园建设、地形整理、绿化苗木移植和栽植，环境渲染4个分部工程。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绿化总面积10万平方米。</w:t>
            </w:r>
          </w:p>
        </w:tc>
        <w:tc>
          <w:tcPr>
            <w:tcW w:w="1133" w:type="dxa"/>
            <w:shd w:val="clear"/>
            <w:vAlign w:val="center"/>
          </w:tcPr>
          <w:p w14:paraId="7C5BE4FF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napToGrid w:val="0"/>
                <w:kern w:val="0"/>
                <w:sz w:val="24"/>
                <w:szCs w:val="24"/>
              </w:rPr>
              <w:t>202</w:t>
            </w:r>
            <w:r>
              <w:rPr>
                <w:rFonts w:hint="default" w:ascii="Times New Roman" w:hAnsi="Times New Roman" w:cs="Times New Roman"/>
                <w:snapToGrid w:val="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default" w:ascii="Times New Roman" w:hAnsi="Times New Roman" w:cs="Times New Roman"/>
                <w:snapToGrid w:val="0"/>
                <w:kern w:val="0"/>
                <w:sz w:val="24"/>
                <w:szCs w:val="24"/>
              </w:rPr>
              <w:t>年</w:t>
            </w:r>
            <w:r>
              <w:rPr>
                <w:rFonts w:hint="default" w:ascii="Times New Roman" w:hAnsi="Times New Roman" w:cs="Times New Roman"/>
                <w:snapToGrid w:val="0"/>
                <w:kern w:val="0"/>
                <w:sz w:val="24"/>
                <w:szCs w:val="24"/>
                <w:lang w:val="en-US" w:eastAsia="zh-CN"/>
              </w:rPr>
              <w:t>6</w:t>
            </w:r>
            <w:r>
              <w:rPr>
                <w:rFonts w:hint="default" w:ascii="Times New Roman" w:hAnsi="Times New Roman" w:cs="Times New Roman"/>
                <w:snapToGrid w:val="0"/>
                <w:kern w:val="0"/>
                <w:sz w:val="24"/>
                <w:szCs w:val="24"/>
              </w:rPr>
              <w:t>月</w:t>
            </w:r>
            <w:r>
              <w:rPr>
                <w:rFonts w:hint="default" w:ascii="Times New Roman" w:hAnsi="Times New Roman" w:cs="Times New Roman"/>
                <w:snapToGrid w:val="0"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/>
                <w:snapToGrid w:val="0"/>
                <w:kern w:val="0"/>
                <w:sz w:val="24"/>
                <w:szCs w:val="24"/>
              </w:rPr>
              <w:t>日</w:t>
            </w:r>
          </w:p>
        </w:tc>
        <w:tc>
          <w:tcPr>
            <w:tcW w:w="1691" w:type="dxa"/>
            <w:shd w:val="clear"/>
            <w:vAlign w:val="center"/>
          </w:tcPr>
          <w:p w14:paraId="4CA014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both"/>
              <w:textAlignment w:val="auto"/>
              <w:rPr>
                <w:rFonts w:hint="default" w:ascii="Times New Roman" w:hAnsi="Times New Roman" w:eastAsia="宋体" w:cs="Times New Roman"/>
                <w:bCs/>
                <w:snapToGrid w:val="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项目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核心建设内容包括四大板块：一是道路绿化提升，对中分带、侧分带进行林荫化、色彩化改造，更换行道树，增加花境；二是节点景观营造，在苍梧高速出入口、花果山大酒店周边等关键节点设置大型绿雕与时令花境；三是口袋公园建设，利用城市边角空间新建了苍梧新华苑西侧、苍梧家苑东侧等4座具有西游文化特色的口袋公园；四是城市家具更新，修复路面铺装，增设园博园吉祥物及宣传小品。</w:t>
            </w:r>
          </w:p>
        </w:tc>
        <w:tc>
          <w:tcPr>
            <w:tcW w:w="1852" w:type="dxa"/>
            <w:shd w:val="clear"/>
            <w:vAlign w:val="center"/>
          </w:tcPr>
          <w:p w14:paraId="7C100636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both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1.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花果山大道作为连云港城市中央大街，是展示城市形象的重要载体。本次景观提升结合周边小区口袋公园建设，不仅盘活了碎片化的闲置城市空间，为居民增添了日常休闲、就近活动的绿色开放空间，更大幅改善了园博会举办期间的城市对外展示面貌，强化了连云港“山海相拥”的文旅特色，塑造出“四季有景、三季有花”的城市迎宾景观带，既助力第十二届园博会顺利举办，也为连云港留下了可持续利用的城市绿色资产。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截至目前，项目形象稳定、良好。</w:t>
            </w:r>
          </w:p>
          <w:p w14:paraId="524217A1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both"/>
              <w:textAlignment w:val="auto"/>
              <w:rPr>
                <w:rFonts w:hint="default" w:ascii="Times New Roman" w:hAnsi="Times New Roman" w:eastAsia="宋体" w:cs="Times New Roman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2.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荣获2024年市城乡建设系统优秀勘察设计二等奖。</w:t>
            </w:r>
          </w:p>
        </w:tc>
        <w:tc>
          <w:tcPr>
            <w:tcW w:w="2127" w:type="dxa"/>
            <w:shd w:val="clear"/>
            <w:vAlign w:val="center"/>
          </w:tcPr>
          <w:p w14:paraId="223DB2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</w:rPr>
              <w:drawing>
                <wp:inline distT="0" distB="0" distL="114300" distR="114300">
                  <wp:extent cx="1207135" cy="904240"/>
                  <wp:effectExtent l="0" t="0" r="12065" b="10160"/>
                  <wp:docPr id="7" name="图片 7" descr="花果山大道沿线局部鸟瞰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花果山大道沿线局部鸟瞰 (2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135" cy="90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207135" cy="904240"/>
                  <wp:effectExtent l="0" t="0" r="12065" b="10160"/>
                  <wp:docPr id="8" name="图片 8" descr="口袋公园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口袋公园三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135" cy="90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shd w:val="clear"/>
            <w:vAlign w:val="center"/>
          </w:tcPr>
          <w:p w14:paraId="30FD35F9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hint="default" w:ascii="Times New Roman" w:hAnsi="Times New Roman" w:cs="Times New Roman"/>
                <w:snapToGrid w:val="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图1：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项目局部鸟瞰，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花果山大道整洁开阔的道路搭配层次丰富的绿植景观，让往来市民与客商都能感受到港城蓬勃向上的城市气质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。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项目建成后景观效果良好，是连云港市对外展示的重要景观之一。</w:t>
            </w:r>
          </w:p>
          <w:p w14:paraId="61296968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图2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：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口袋公园代表之一，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花果山大道与小区之间的市政绿地改造成口袋公园。为周边居民提供了茶余饭后散步聊天的舒适空间，也进一步延伸了花果山大道的生态景观脉络。</w:t>
            </w:r>
          </w:p>
          <w:p w14:paraId="176C99AE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 w14:paraId="247434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8" w:hRule="atLeast"/>
        </w:trPr>
        <w:tc>
          <w:tcPr>
            <w:tcW w:w="817" w:type="dxa"/>
            <w:vAlign w:val="center"/>
          </w:tcPr>
          <w:p w14:paraId="28BD10D0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353" w:type="dxa"/>
            <w:shd w:val="clear"/>
            <w:vAlign w:val="center"/>
          </w:tcPr>
          <w:p w14:paraId="27DF3A82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  <w:t>江苏金海园林生态科技有限公司</w:t>
            </w:r>
          </w:p>
        </w:tc>
        <w:tc>
          <w:tcPr>
            <w:tcW w:w="1265" w:type="dxa"/>
            <w:shd w:val="clear"/>
            <w:vAlign w:val="center"/>
          </w:tcPr>
          <w:p w14:paraId="1D95B6A8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  <w:t>盐河南路（新孔南路-迎宾大道）新建工程景观绿化工程总承包（EPC）</w:t>
            </w:r>
          </w:p>
        </w:tc>
        <w:tc>
          <w:tcPr>
            <w:tcW w:w="2176" w:type="dxa"/>
            <w:shd w:val="clear"/>
            <w:vAlign w:val="center"/>
          </w:tcPr>
          <w:p w14:paraId="524C0295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/>
              <w:snapToGrid/>
              <w:spacing w:line="280" w:lineRule="exact"/>
              <w:ind w:firstLine="480" w:firstLineChars="200"/>
              <w:textAlignment w:val="auto"/>
              <w:rPr>
                <w:rFonts w:hint="default" w:ascii="Times New Roman" w:hAnsi="Times New Roman" w:eastAsia="宋体" w:cs="Times New Roman"/>
                <w:bCs/>
                <w:i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  <w:t>盐河南路（新孔南路-迎宾大道）新建工程景观绿化工程总承包（EPC）项目起于新孔南路，是连云港花果山机场大道连接市区的重要路段，终点位于迎宾大道，全长约3.2公里。项目施工范围包括道路中分带、侧分带、边分带以及行道树树池区域的景观绿化，挡墙和护栏施工等内容，总绿化面积达5.2万平方米。</w:t>
            </w:r>
          </w:p>
        </w:tc>
        <w:tc>
          <w:tcPr>
            <w:tcW w:w="1133" w:type="dxa"/>
            <w:shd w:val="clear"/>
            <w:vAlign w:val="center"/>
          </w:tcPr>
          <w:p w14:paraId="32C74C35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napToGrid w:val="0"/>
                <w:kern w:val="0"/>
                <w:sz w:val="24"/>
                <w:szCs w:val="24"/>
              </w:rPr>
              <w:t>202</w:t>
            </w:r>
            <w:r>
              <w:rPr>
                <w:rFonts w:hint="default" w:ascii="Times New Roman" w:hAnsi="Times New Roman" w:cs="Times New Roman"/>
                <w:snapToGrid w:val="0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default" w:ascii="Times New Roman" w:hAnsi="Times New Roman" w:cs="Times New Roman"/>
                <w:snapToGrid w:val="0"/>
                <w:kern w:val="0"/>
                <w:sz w:val="24"/>
                <w:szCs w:val="24"/>
              </w:rPr>
              <w:t>年9月</w:t>
            </w:r>
            <w:r>
              <w:rPr>
                <w:rFonts w:hint="default" w:ascii="Times New Roman" w:hAnsi="Times New Roman" w:cs="Times New Roman"/>
                <w:snapToGrid w:val="0"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default" w:ascii="Times New Roman" w:hAnsi="Times New Roman" w:cs="Times New Roman"/>
                <w:snapToGrid w:val="0"/>
                <w:kern w:val="0"/>
                <w:sz w:val="24"/>
                <w:szCs w:val="24"/>
              </w:rPr>
              <w:t>日</w:t>
            </w:r>
          </w:p>
        </w:tc>
        <w:tc>
          <w:tcPr>
            <w:tcW w:w="1691" w:type="dxa"/>
            <w:shd w:val="clear"/>
            <w:vAlign w:val="center"/>
          </w:tcPr>
          <w:p w14:paraId="5605F1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eastAsia="宋体" w:cs="Times New Roman"/>
                <w:bCs/>
                <w:snapToGrid w:val="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  <w:t>施工过程中形成了五项较为突出的工程特色和难点，主要体现在土方清运的组织管理、种植土回填的质量控制、苗木种植的精细化作业、养护工作的应急响应以及标准化施工的落地执行方面。</w:t>
            </w:r>
          </w:p>
        </w:tc>
        <w:tc>
          <w:tcPr>
            <w:tcW w:w="1852" w:type="dxa"/>
            <w:shd w:val="clear"/>
            <w:vAlign w:val="center"/>
          </w:tcPr>
          <w:p w14:paraId="2E65DC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  <w:t>土方清运和回填数据准确，具备可追溯性；面对干旱天气，反应迅速，措施落实到位；补苗工作不推诿，发现死亡即行补植；项目建成后景观效果良好。</w:t>
            </w:r>
          </w:p>
          <w:p w14:paraId="412231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eastAsia="宋体" w:cs="Times New Roman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  <w:t>并在2023年荣获连云港市“玉女峰杯”优质工程奖。</w:t>
            </w:r>
          </w:p>
        </w:tc>
        <w:tc>
          <w:tcPr>
            <w:tcW w:w="2127" w:type="dxa"/>
            <w:shd w:val="clear"/>
            <w:vAlign w:val="center"/>
          </w:tcPr>
          <w:p w14:paraId="681118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207135" cy="904240"/>
                  <wp:effectExtent l="0" t="0" r="12065" b="10160"/>
                  <wp:docPr id="11" name="图片 11" descr="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0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135" cy="90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AD74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207135" cy="904240"/>
                  <wp:effectExtent l="0" t="0" r="12065" b="10160"/>
                  <wp:docPr id="12" name="图片 12" descr="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0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135" cy="90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shd w:val="clear"/>
            <w:vAlign w:val="center"/>
          </w:tcPr>
          <w:p w14:paraId="58317B88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cs="Times New Roman"/>
                <w:snapToGrid w:val="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图1：</w:t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道路中分带绿化已成型，花灌木、乔木搭配规整，色彩层次鲜明，绿植长势良好，道路路面整洁，整体绿化施工质量良好，景观效果已呈现。</w:t>
            </w:r>
          </w:p>
          <w:p w14:paraId="0BEC8193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cs="Times New Roman"/>
                <w:snapToGrid w:val="0"/>
                <w:kern w:val="0"/>
                <w:sz w:val="24"/>
                <w:szCs w:val="24"/>
              </w:rPr>
            </w:pPr>
          </w:p>
          <w:p w14:paraId="75597FF3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cs="Times New Roman"/>
                <w:snapToGrid w:val="0"/>
                <w:kern w:val="0"/>
                <w:sz w:val="24"/>
                <w:szCs w:val="24"/>
              </w:rPr>
            </w:pPr>
          </w:p>
          <w:p w14:paraId="2ADF5223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图2：</w:t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道路中分带及两侧乔灌木生长茂盛，绿化层次分明，整体现场整洁美观。</w:t>
            </w:r>
          </w:p>
          <w:p w14:paraId="6467628F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 w14:paraId="73C546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8" w:hRule="atLeast"/>
        </w:trPr>
        <w:tc>
          <w:tcPr>
            <w:tcW w:w="817" w:type="dxa"/>
            <w:vAlign w:val="center"/>
          </w:tcPr>
          <w:p w14:paraId="55874FFC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353" w:type="dxa"/>
            <w:shd w:val="clear"/>
            <w:vAlign w:val="center"/>
          </w:tcPr>
          <w:p w14:paraId="6F7E9ADA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eastAsia="宋体" w:cs="Times New Roman"/>
                <w:bCs/>
                <w:snapToGrid w:val="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napToGrid w:val="0"/>
                <w:kern w:val="0"/>
                <w:sz w:val="24"/>
                <w:szCs w:val="24"/>
                <w:lang w:val="en-US" w:eastAsia="zh-CN"/>
              </w:rPr>
              <w:t>江苏洋井石化集团有限公司</w:t>
            </w:r>
          </w:p>
        </w:tc>
        <w:tc>
          <w:tcPr>
            <w:tcW w:w="1265" w:type="dxa"/>
            <w:shd w:val="clear"/>
            <w:vAlign w:val="center"/>
          </w:tcPr>
          <w:p w14:paraId="62516FD5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eastAsia="宋体" w:cs="Times New Roman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连云港石化产业基地生态环境整治提升项目一标段EPC工程（千亿公园、桩基森林公园、首桩公园）</w:t>
            </w:r>
          </w:p>
        </w:tc>
        <w:tc>
          <w:tcPr>
            <w:tcW w:w="2176" w:type="dxa"/>
            <w:shd w:val="clear"/>
            <w:vAlign w:val="center"/>
          </w:tcPr>
          <w:p w14:paraId="36553E82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eastAsia="宋体" w:cs="Times New Roman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项目位于连云港徐圩新区石化产业基地，由首桩公园、桩机森林公园、千亿公园三大主题公园整合而成，总占地面积约 32500 平方米。工程针对盐碱地实施地形整理、隔盐改良、种植土回填，配套建设园路、广场、景观照明、慢行步道、休闲设施及各类主题构筑物；共栽植落叶乔木、常绿乔木、造型景观树、花灌木、球类灌木、地被、草坪、水生植物、草花等，植物配置层次丰富、季相分明；同步建设精神堡垒、LOGO 标识、种子雕塑、景墙、展牌、桩机造型、小品等主题设施，是集生态修复、工业文化展示、市民休闲、产业配套、海绵城市于一体的综合性园林景观工程。</w:t>
            </w:r>
          </w:p>
        </w:tc>
        <w:tc>
          <w:tcPr>
            <w:tcW w:w="1133" w:type="dxa"/>
            <w:shd w:val="clear"/>
            <w:vAlign w:val="center"/>
          </w:tcPr>
          <w:p w14:paraId="0B59A02A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eastAsia="宋体" w:cs="Times New Roman"/>
                <w:bCs/>
                <w:snapToGrid w:val="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napToGrid w:val="0"/>
                <w:kern w:val="0"/>
                <w:sz w:val="24"/>
                <w:szCs w:val="24"/>
                <w:lang w:val="en-US" w:eastAsia="zh-CN"/>
              </w:rPr>
              <w:t>2022年06月29日</w:t>
            </w:r>
          </w:p>
        </w:tc>
        <w:tc>
          <w:tcPr>
            <w:tcW w:w="1691" w:type="dxa"/>
            <w:shd w:val="clear"/>
            <w:vAlign w:val="center"/>
          </w:tcPr>
          <w:p w14:paraId="224E4E8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topLinePunct w:val="0"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主题一脉相承：以石化基地 “首桩奠基 — 建设场景 — 千亿成果” 为叙事主线，工业文化与园林景观深度融合。</w:t>
            </w:r>
          </w:p>
          <w:p w14:paraId="25C8C8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topLinePunct w:val="0"/>
              <w:bidi w:val="0"/>
              <w:adjustRightInd/>
              <w:snapToGrid/>
              <w:spacing w:line="280" w:lineRule="exact"/>
              <w:ind w:left="0" w:leftChars="0" w:firstLine="0" w:firstLineChars="0"/>
              <w:jc w:val="both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盐碱地园林技术成熟：采用隔盐、土壤改良等专项工艺，植物成活率高、景观效果稳定。</w:t>
            </w:r>
          </w:p>
          <w:p w14:paraId="58AEA54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topLinePunct w:val="0"/>
              <w:bidi w:val="0"/>
              <w:adjustRightInd/>
              <w:snapToGrid/>
              <w:spacing w:line="280" w:lineRule="exact"/>
              <w:ind w:left="0" w:leftChars="0" w:firstLine="0" w:firstLineChars="0"/>
              <w:jc w:val="both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海绵城市系统应用：设置下凹式绿地、生态旱溪等设施，兼顾雨水调蓄与生态景观。</w:t>
            </w:r>
          </w:p>
          <w:p w14:paraId="6389783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topLinePunct w:val="0"/>
              <w:bidi w:val="0"/>
              <w:adjustRightInd/>
              <w:snapToGrid/>
              <w:spacing w:line="280" w:lineRule="exact"/>
              <w:ind w:left="0" w:leftChars="0" w:firstLine="0" w:firstLineChars="0"/>
              <w:jc w:val="both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植物配置科学：四季有景、三季有花，阵列式种植与自然式布局结合，层次丰富。</w:t>
            </w:r>
          </w:p>
          <w:p w14:paraId="4B8C0B5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topLinePunct w:val="0"/>
              <w:bidi w:val="0"/>
              <w:adjustRightInd/>
              <w:snapToGrid/>
              <w:spacing w:line="280" w:lineRule="exact"/>
              <w:ind w:left="0" w:leftChars="0" w:firstLine="0" w:firstLineChars="0"/>
              <w:jc w:val="both"/>
              <w:textAlignment w:val="auto"/>
              <w:rPr>
                <w:rFonts w:hint="default" w:ascii="Times New Roman" w:hAnsi="Times New Roman" w:eastAsia="宋体" w:cs="Times New Roman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 xml:space="preserve"> 功能复合多元：兼具门户形象、文化展示、休闲游憩、生态教育、安全宣传多重价值。</w:t>
            </w:r>
          </w:p>
        </w:tc>
        <w:tc>
          <w:tcPr>
            <w:tcW w:w="1852" w:type="dxa"/>
            <w:shd w:val="clear"/>
            <w:vAlign w:val="center"/>
          </w:tcPr>
          <w:p w14:paraId="677294C3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1. 打造徐圩新区石化产业门户标志性景观，提升城市形象与产业识度。</w:t>
            </w:r>
          </w:p>
          <w:p w14:paraId="0C98EE3E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2. 改善区域生态环境，为产业职工与市民提供高品质休闲空间。3. 形成可复制的盐碱地园林施工与工业主题景观营造经验。</w:t>
            </w:r>
          </w:p>
          <w:p w14:paraId="39364E29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eastAsia="宋体" w:cs="Times New Roman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4. 实现生态效益、社会效益、文化效益统一，成为新区高质量发展示范工程。</w:t>
            </w:r>
          </w:p>
        </w:tc>
        <w:tc>
          <w:tcPr>
            <w:tcW w:w="2127" w:type="dxa"/>
            <w:shd w:val="clear"/>
            <w:vAlign w:val="center"/>
          </w:tcPr>
          <w:p w14:paraId="75E0A4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eastAsia="宋体" w:cs="Times New Roman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050290" cy="749935"/>
                  <wp:effectExtent l="0" t="0" r="16510" b="12065"/>
                  <wp:docPr id="24" name="图片 24" descr="20240111图集_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20240111图集_0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290" cy="74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rFonts w:hint="default" w:ascii="Times New Roman" w:hAnsi="Times New Roman" w:eastAsia="黑体" w:cs="Times New Roman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010920" cy="438150"/>
                  <wp:effectExtent l="0" t="0" r="17780" b="0"/>
                  <wp:docPr id="27" name="图片 27" descr="20240111图集_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20240111图集_0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2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shd w:val="clear"/>
            <w:vAlign w:val="center"/>
          </w:tcPr>
          <w:p w14:paraId="3E89493E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1：公园群整体鸟瞰，三大公园联动布局，工业主题与生态绿地有机融合，展现新区整体风貌。</w:t>
            </w:r>
          </w:p>
          <w:p w14:paraId="4C429B21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eastAsia="宋体" w:cs="Times New Roman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2：主题景观与植物群落实景，层次丰富的绿化搭配特色构筑物，呈现四季有景的高品质园林效果。</w:t>
            </w:r>
          </w:p>
        </w:tc>
      </w:tr>
      <w:tr w14:paraId="3273D8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8" w:hRule="atLeast"/>
        </w:trPr>
        <w:tc>
          <w:tcPr>
            <w:tcW w:w="817" w:type="dxa"/>
            <w:vAlign w:val="center"/>
          </w:tcPr>
          <w:p w14:paraId="0FFE55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353" w:type="dxa"/>
            <w:shd w:val="clear"/>
            <w:vAlign w:val="center"/>
          </w:tcPr>
          <w:p w14:paraId="4683F2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eastAsia="宋体" w:cs="Times New Roman"/>
                <w:bCs/>
                <w:snapToGrid w:val="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napToGrid w:val="0"/>
                <w:kern w:val="0"/>
                <w:sz w:val="24"/>
                <w:szCs w:val="24"/>
                <w:lang w:val="en-US" w:eastAsia="zh-CN"/>
              </w:rPr>
              <w:t>江苏杞林生态环境建设有限公司</w:t>
            </w:r>
          </w:p>
        </w:tc>
        <w:tc>
          <w:tcPr>
            <w:tcW w:w="1265" w:type="dxa"/>
            <w:shd w:val="clear"/>
            <w:vAlign w:val="center"/>
          </w:tcPr>
          <w:p w14:paraId="247BCF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eastAsia="宋体" w:cs="Times New Roman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第十二届江苏省园艺博览会南京展园建设项目专业工程工程总承包</w:t>
            </w:r>
          </w:p>
        </w:tc>
        <w:tc>
          <w:tcPr>
            <w:tcW w:w="2176" w:type="dxa"/>
            <w:shd w:val="clear"/>
            <w:vAlign w:val="center"/>
          </w:tcPr>
          <w:p w14:paraId="162BFF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eastAsia="宋体" w:cs="Times New Roman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南京展园建设面积约8000平方，硬质景观面积约1900平方，主建筑占地面积约300平方，绿化面积约5800平方。硬质景观主要包含牵星主建筑、钢结构风帆廊架、船头平台、亲水平台、木栈道平台、异型景墙、异型花坛等。苗木地被采用较为丰富的花境花海元素，还配以雾森气氛营造。设计依据规划要求，通过智慧造园探索科技与园艺的契合点，打造集园艺博览、生态休闲、互动体验于一体的智慧景观园。</w:t>
            </w:r>
          </w:p>
        </w:tc>
        <w:tc>
          <w:tcPr>
            <w:tcW w:w="1133" w:type="dxa"/>
            <w:shd w:val="clear"/>
            <w:vAlign w:val="center"/>
          </w:tcPr>
          <w:p w14:paraId="684E12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eastAsia="宋体" w:cs="Times New Roman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2023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年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月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15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1691" w:type="dxa"/>
            <w:shd w:val="clear"/>
            <w:vAlign w:val="center"/>
          </w:tcPr>
          <w:p w14:paraId="69173E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1、南京展园总体设计以南京和丝路文化的渊源为基础，突出园林与园艺、生态与文化、绿色与科技的融合创新，融合“丝路绿韵”主题，围绕南京“创新名城、美丽古都”的目标愿景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。</w:t>
            </w:r>
          </w:p>
          <w:p w14:paraId="5AD49F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南京展园主题为智慧景观园，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探索智慧创新技术，按照“一环、五点”的景观结构，植入智慧项目，趣味的互动与深度的参与提高重游率，打造创新的景观环境。并结合互动设施展示和体验健康园艺内容。</w:t>
            </w:r>
          </w:p>
          <w:p w14:paraId="64B496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3、本项目绿化工程侧重打造层次清晰、协调自然的植物空间，营造多样化的生态景观；景观工程融入3D打印、智能感应、光伏装置等智慧元素，配套工程采用雨污分流、中水利用等绿色环保措施，整体兼顾生态性与智能化。</w:t>
            </w:r>
          </w:p>
        </w:tc>
        <w:tc>
          <w:tcPr>
            <w:tcW w:w="1852" w:type="dxa"/>
            <w:shd w:val="clear"/>
            <w:vAlign w:val="center"/>
          </w:tcPr>
          <w:p w14:paraId="2CD583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eastAsia="宋体" w:cs="Times New Roman"/>
                <w:b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本项目以“丝路绿韵”为主题，通过“一环五点”景观结构，将南京园林特色、丝路文化与智慧科技深度融合，打造集风貌展示、文化感知与智慧示范于一体的标志性展园。绿化工程营造层次清晰、生态多样的植物空间，景观工程集成3D打印、智能感应、光伏装置等智慧元素，配套工程实施雨污分流与中水回用。整体实现生态与智能协同，形成互动参与、健康园艺、可持续运营的高品质智慧景观环境，为未来“一带一路”智慧园林建设提供创新典范。</w:t>
            </w:r>
          </w:p>
        </w:tc>
        <w:tc>
          <w:tcPr>
            <w:tcW w:w="2127" w:type="dxa"/>
            <w:shd w:val="clear"/>
            <w:vAlign w:val="center"/>
          </w:tcPr>
          <w:p w14:paraId="497854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176020" cy="727075"/>
                  <wp:effectExtent l="0" t="0" r="12700" b="4445"/>
                  <wp:docPr id="30" name="图片 30" descr="f9a9eb5440f79db7987dc0ee52998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f9a9eb5440f79db7987dc0ee52998a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20" cy="72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5366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eastAsia="宋体" w:cs="Times New Roman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221740" cy="651510"/>
                  <wp:effectExtent l="0" t="0" r="12700" b="3810"/>
                  <wp:docPr id="31" name="图片 31" descr="e39a6313881516136ca0a39fa9ca2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e39a6313881516136ca0a39fa9ca22b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740" cy="6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shd w:val="clear"/>
            <w:vAlign w:val="center"/>
          </w:tcPr>
          <w:p w14:paraId="52C409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图1：本次南京展园绿化配植中大量应用花境，总面积约1300平方米，占绿化总面积的22.4%，远远超出一般园林项目的花境占地比例。</w:t>
            </w:r>
          </w:p>
          <w:p w14:paraId="3C8798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图2：风帆廊架下方的七星互动灯柱采用触发式感应设计，游客只需轻触灯柱，灯柱便会按照蓝、绿、红、黄的顺序变换色彩，达成互动体验；到了夜间，这里更是成为游客互动打卡的热门点位。</w:t>
            </w:r>
          </w:p>
          <w:p w14:paraId="26EDB0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both"/>
              <w:textAlignment w:val="auto"/>
              <w:rPr>
                <w:rFonts w:hint="default" w:ascii="Times New Roman" w:hAnsi="Times New Roman" w:eastAsia="宋体" w:cs="Times New Roman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7A3071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8" w:hRule="atLeast"/>
        </w:trPr>
        <w:tc>
          <w:tcPr>
            <w:tcW w:w="817" w:type="dxa"/>
            <w:vAlign w:val="center"/>
          </w:tcPr>
          <w:p w14:paraId="367A6F41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1353" w:type="dxa"/>
            <w:shd w:val="clear"/>
            <w:vAlign w:val="center"/>
          </w:tcPr>
          <w:p w14:paraId="078E410C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cs="Times New Roman" w:eastAsiaTheme="minorEastAsia"/>
                <w:b w:val="0"/>
                <w:bCs/>
                <w:kern w:val="0"/>
                <w:sz w:val="24"/>
                <w:szCs w:val="24"/>
                <w:u w:val="none" w:color="auto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/>
                <w:color w:val="auto"/>
                <w:sz w:val="24"/>
                <w:szCs w:val="24"/>
                <w:highlight w:val="none"/>
                <w:u w:val="none" w:color="auto"/>
                <w:lang w:eastAsia="zh-CN"/>
              </w:rPr>
              <w:t>江苏金海园林生态科技有限公司</w:t>
            </w:r>
          </w:p>
        </w:tc>
        <w:tc>
          <w:tcPr>
            <w:tcW w:w="1265" w:type="dxa"/>
            <w:shd w:val="clear"/>
            <w:vAlign w:val="center"/>
          </w:tcPr>
          <w:p w14:paraId="65E723A7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cs="Times New Roman" w:eastAsiaTheme="minorEastAsia"/>
                <w:b w:val="0"/>
                <w:bCs/>
                <w:kern w:val="0"/>
                <w:sz w:val="24"/>
                <w:szCs w:val="24"/>
                <w:u w:val="none" w:color="auto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/>
                <w:sz w:val="24"/>
                <w:szCs w:val="24"/>
                <w:u w:val="none" w:color="auto"/>
              </w:rPr>
              <w:t>海滨大道连云区段（北固山及周边）沿海特色风貌塑造工程总承包（EPC）</w:t>
            </w:r>
          </w:p>
        </w:tc>
        <w:tc>
          <w:tcPr>
            <w:tcW w:w="2176" w:type="dxa"/>
            <w:shd w:val="clear"/>
            <w:vAlign w:val="center"/>
          </w:tcPr>
          <w:p w14:paraId="42FC5CEB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eastAsia="宋体" w:cs="Times New Roman"/>
                <w:bCs/>
                <w:i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kern w:val="0"/>
                <w:sz w:val="24"/>
                <w:szCs w:val="24"/>
                <w:lang w:val="en-US" w:eastAsia="zh-CN" w:bidi="ar"/>
              </w:rPr>
              <w:t>该项目位于连云区，总面积约80000㎡，涵盖绿化种植、景观营造、生态修复、智慧管护等多个板块，工程总造价1803.63万元，工程立足“生态优先、创新引领、示范带动”的核心理念，融合生态修复、智慧技术等前沿理念，打造集生态防护、景观观赏、休闲体验于一体的园林绿化标杆项目。</w:t>
            </w:r>
          </w:p>
        </w:tc>
        <w:tc>
          <w:tcPr>
            <w:tcW w:w="1133" w:type="dxa"/>
            <w:shd w:val="clear"/>
            <w:vAlign w:val="center"/>
          </w:tcPr>
          <w:p w14:paraId="4143D6C1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napToGrid w:val="0"/>
                <w:kern w:val="0"/>
                <w:sz w:val="24"/>
                <w:szCs w:val="24"/>
              </w:rPr>
              <w:t>202</w:t>
            </w:r>
            <w:r>
              <w:rPr>
                <w:rFonts w:hint="default" w:ascii="Times New Roman" w:hAnsi="Times New Roman" w:cs="Times New Roman"/>
                <w:snapToGrid w:val="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default" w:ascii="Times New Roman" w:hAnsi="Times New Roman" w:cs="Times New Roman"/>
                <w:snapToGrid w:val="0"/>
                <w:kern w:val="0"/>
                <w:sz w:val="24"/>
                <w:szCs w:val="24"/>
              </w:rPr>
              <w:t>年</w:t>
            </w:r>
            <w:r>
              <w:rPr>
                <w:rFonts w:hint="default" w:ascii="Times New Roman" w:hAnsi="Times New Roman" w:cs="Times New Roman"/>
                <w:snapToGrid w:val="0"/>
                <w:kern w:val="0"/>
                <w:sz w:val="24"/>
                <w:szCs w:val="24"/>
                <w:lang w:val="en-US" w:eastAsia="zh-CN"/>
              </w:rPr>
              <w:t>7</w:t>
            </w:r>
            <w:r>
              <w:rPr>
                <w:rFonts w:hint="default" w:ascii="Times New Roman" w:hAnsi="Times New Roman" w:cs="Times New Roman"/>
                <w:snapToGrid w:val="0"/>
                <w:kern w:val="0"/>
                <w:sz w:val="24"/>
                <w:szCs w:val="24"/>
              </w:rPr>
              <w:t>月</w:t>
            </w:r>
            <w:r>
              <w:rPr>
                <w:rFonts w:hint="default" w:ascii="Times New Roman" w:hAnsi="Times New Roman" w:cs="Times New Roman"/>
                <w:snapToGrid w:val="0"/>
                <w:kern w:val="0"/>
                <w:sz w:val="24"/>
                <w:szCs w:val="24"/>
                <w:lang w:val="en-US" w:eastAsia="zh-CN"/>
              </w:rPr>
              <w:t>7</w:t>
            </w:r>
            <w:r>
              <w:rPr>
                <w:rFonts w:hint="default" w:ascii="Times New Roman" w:hAnsi="Times New Roman" w:cs="Times New Roman"/>
                <w:snapToGrid w:val="0"/>
                <w:kern w:val="0"/>
                <w:sz w:val="24"/>
                <w:szCs w:val="24"/>
              </w:rPr>
              <w:t>日</w:t>
            </w:r>
          </w:p>
        </w:tc>
        <w:tc>
          <w:tcPr>
            <w:tcW w:w="1691" w:type="dxa"/>
            <w:shd w:val="clear"/>
            <w:vAlign w:val="center"/>
          </w:tcPr>
          <w:p w14:paraId="53C6A0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eastAsia="宋体" w:cs="Times New Roman"/>
                <w:bCs/>
                <w:snapToGrid w:val="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海滨大道沿线绿化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增植黑松、落羽杉、乌桕等植物，增加乔灌木占比，利用沿线节点空间强化视觉效果，营造6处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景观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节点，沿线景观小品体系化20余组，对沿途路段进行现代化、功能化、智能化出新改造升级，完善临海生活慢行、骑行系统，以及连云区海滨大道（跨海大桥南桥头至徐新路段）全长3.6公里沿线景观绿化升级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和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海滨大道风光带建设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  <w:t>。</w:t>
            </w:r>
          </w:p>
        </w:tc>
        <w:tc>
          <w:tcPr>
            <w:tcW w:w="1852" w:type="dxa"/>
            <w:shd w:val="clear"/>
            <w:vAlign w:val="center"/>
          </w:tcPr>
          <w:p w14:paraId="6CB252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both"/>
              <w:textAlignment w:val="auto"/>
              <w:rPr>
                <w:rFonts w:hint="default" w:ascii="Times New Roman" w:hAnsi="Times New Roman" w:eastAsia="宋体" w:cs="Times New Roman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以“山海相融、特色彰显”为导向，塑造滨海沿线景观风貌，构建“一路一景、步步如画” 的景观序列，通过植物造景、地形营造与空间围合，形成视觉焦点与景观亮点；融合滨海文化元素与现代设计手法，兼顾美观性与实用性，串联沿线景观脉络，提升景观辨识度与文化内涵，实现北固山及周边区域景观衔接，形成连贯、通透、富有韵律的海滨风光带，显著提升城市形象，成为展示连云区滨海魅力靓丽名片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eastAsia="zh-CN"/>
              </w:rPr>
              <w:t>。</w:t>
            </w:r>
          </w:p>
        </w:tc>
        <w:tc>
          <w:tcPr>
            <w:tcW w:w="2127" w:type="dxa"/>
            <w:shd w:val="clear"/>
            <w:vAlign w:val="center"/>
          </w:tcPr>
          <w:p w14:paraId="7164EF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172210" cy="880110"/>
                  <wp:effectExtent l="0" t="0" r="8890" b="15240"/>
                  <wp:docPr id="3" name="图片 3" descr="IMG_9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980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210" cy="88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207135" cy="906145"/>
                  <wp:effectExtent l="0" t="0" r="12065" b="8255"/>
                  <wp:docPr id="4" name="图片 4" descr="宋家花园施工后 (1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宋家花园施工后 (14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135" cy="90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shd w:val="clear"/>
            <w:vAlign w:val="center"/>
          </w:tcPr>
          <w:p w14:paraId="1DF4C65A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adjustRightInd/>
              <w:snapToGrid/>
              <w:spacing w:line="280" w:lineRule="exact"/>
              <w:jc w:val="both"/>
              <w:textAlignment w:val="auto"/>
              <w:rPr>
                <w:rFonts w:hint="default" w:ascii="Times New Roman" w:hAnsi="Times New Roman" w:cs="Times New Roman"/>
                <w:snapToGrid w:val="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图1：</w:t>
            </w: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/>
              </w:rPr>
              <w:t>海滨大道“在海一方”道路节点绿化，黑松、景石、砾石与花镜相结合，体现了连云港山海相依的独特绿化景观。</w:t>
            </w:r>
          </w:p>
          <w:p w14:paraId="6130FA91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adjustRightInd/>
              <w:snapToGrid/>
              <w:spacing w:line="280" w:lineRule="exact"/>
              <w:jc w:val="both"/>
              <w:textAlignment w:val="auto"/>
              <w:rPr>
                <w:rFonts w:hint="default" w:ascii="Times New Roman" w:hAnsi="Times New Roman" w:cs="Times New Roman"/>
                <w:snapToGrid w:val="0"/>
                <w:kern w:val="0"/>
                <w:sz w:val="24"/>
                <w:szCs w:val="24"/>
              </w:rPr>
            </w:pPr>
          </w:p>
          <w:p w14:paraId="7F43A4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topLinePunct w:val="0"/>
              <w:bidi w:val="0"/>
              <w:adjustRightInd/>
              <w:snapToGrid/>
              <w:spacing w:line="280" w:lineRule="exact"/>
              <w:jc w:val="both"/>
              <w:textAlignment w:val="auto"/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图2：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百年“宋家花园”提升改造，重新绽放，</w:t>
            </w:r>
            <w:r>
              <w:rPr>
                <w:rFonts w:hint="default" w:ascii="Times New Roman" w:hAnsi="Times New Roman" w:cs="Times New Roman" w:eastAsiaTheme="minorEastAsia"/>
                <w:bCs/>
                <w:color w:val="231F20"/>
                <w:kern w:val="0"/>
                <w:sz w:val="24"/>
                <w:szCs w:val="24"/>
                <w:lang w:val="en-US" w:eastAsia="zh-CN" w:bidi="ar"/>
              </w:rPr>
              <w:t>保留原有大型黑松林，设置三级递进观景台，同时融入现代海绵城市设理念，铺设游园路，修筑活动平台，新建松林趣味亲子  动空间等。</w:t>
            </w:r>
          </w:p>
          <w:p w14:paraId="3242CC34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</w:p>
          <w:p w14:paraId="3D7B442A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adjustRightInd/>
              <w:snapToGrid/>
              <w:spacing w:line="280" w:lineRule="exact"/>
              <w:textAlignment w:val="auto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</w:tbl>
    <w:p w14:paraId="6A12CCDC">
      <w:pPr>
        <w:keepNext w:val="0"/>
        <w:keepLines w:val="0"/>
        <w:pageBreakBefore w:val="0"/>
        <w:kinsoku/>
        <w:wordWrap/>
        <w:topLinePunct w:val="0"/>
        <w:bidi w:val="0"/>
        <w:adjustRightInd/>
        <w:snapToGrid/>
        <w:spacing w:line="280" w:lineRule="exact"/>
        <w:jc w:val="both"/>
        <w:textAlignment w:val="auto"/>
        <w:rPr>
          <w:kern w:val="0"/>
          <w:sz w:val="24"/>
          <w:szCs w:val="24"/>
        </w:rPr>
      </w:pPr>
    </w:p>
    <w:sectPr>
      <w:pgSz w:w="16838" w:h="11906" w:orient="landscape"/>
      <w:pgMar w:top="612" w:right="986" w:bottom="612" w:left="98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1" w:fontKey="{777C4C3D-0ACB-4A02-9692-A141AAFDE02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BF4F8ED4-D259-421F-B3E5-BE7FD2F7847D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A7617FD"/>
    <w:multiLevelType w:val="singleLevel"/>
    <w:tmpl w:val="2A7617FD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FlMmVhZWI0MDdkODY4NDkyZGQ0MTMxNGNmZTIyNmUifQ=="/>
  </w:docVars>
  <w:rsids>
    <w:rsidRoot w:val="0E5A1EB4"/>
    <w:rsid w:val="00015922"/>
    <w:rsid w:val="000509BA"/>
    <w:rsid w:val="00054327"/>
    <w:rsid w:val="00067A6B"/>
    <w:rsid w:val="000C1E2E"/>
    <w:rsid w:val="00103A88"/>
    <w:rsid w:val="00103EEA"/>
    <w:rsid w:val="00124FF2"/>
    <w:rsid w:val="001D71F5"/>
    <w:rsid w:val="001E735F"/>
    <w:rsid w:val="001F3DCA"/>
    <w:rsid w:val="00202382"/>
    <w:rsid w:val="002265F2"/>
    <w:rsid w:val="00260A21"/>
    <w:rsid w:val="002B1A86"/>
    <w:rsid w:val="002C04D2"/>
    <w:rsid w:val="002E20FB"/>
    <w:rsid w:val="002F48BC"/>
    <w:rsid w:val="00315D36"/>
    <w:rsid w:val="00326060"/>
    <w:rsid w:val="003318AA"/>
    <w:rsid w:val="00375B57"/>
    <w:rsid w:val="00385DA6"/>
    <w:rsid w:val="003A481A"/>
    <w:rsid w:val="003D2246"/>
    <w:rsid w:val="003F7D01"/>
    <w:rsid w:val="00463658"/>
    <w:rsid w:val="004D5099"/>
    <w:rsid w:val="005166F0"/>
    <w:rsid w:val="005616D4"/>
    <w:rsid w:val="00573839"/>
    <w:rsid w:val="005F606D"/>
    <w:rsid w:val="0065377F"/>
    <w:rsid w:val="00695DB7"/>
    <w:rsid w:val="006D2DEC"/>
    <w:rsid w:val="006F6E14"/>
    <w:rsid w:val="007022DD"/>
    <w:rsid w:val="00704564"/>
    <w:rsid w:val="00720CD5"/>
    <w:rsid w:val="00767C46"/>
    <w:rsid w:val="00796431"/>
    <w:rsid w:val="007B7939"/>
    <w:rsid w:val="007D48B7"/>
    <w:rsid w:val="007F2A98"/>
    <w:rsid w:val="007F76F8"/>
    <w:rsid w:val="00834977"/>
    <w:rsid w:val="008E1474"/>
    <w:rsid w:val="00943ED3"/>
    <w:rsid w:val="00A32D79"/>
    <w:rsid w:val="00A61216"/>
    <w:rsid w:val="00A645EB"/>
    <w:rsid w:val="00AA3D67"/>
    <w:rsid w:val="00B05E1F"/>
    <w:rsid w:val="00B102AD"/>
    <w:rsid w:val="00B94560"/>
    <w:rsid w:val="00B95809"/>
    <w:rsid w:val="00BB1F66"/>
    <w:rsid w:val="00BB6C0D"/>
    <w:rsid w:val="00BC66E7"/>
    <w:rsid w:val="00BD2727"/>
    <w:rsid w:val="00C07136"/>
    <w:rsid w:val="00C12016"/>
    <w:rsid w:val="00C23246"/>
    <w:rsid w:val="00CB358A"/>
    <w:rsid w:val="00CC370C"/>
    <w:rsid w:val="00CE1E45"/>
    <w:rsid w:val="00D448AD"/>
    <w:rsid w:val="00D80DD6"/>
    <w:rsid w:val="00D875B3"/>
    <w:rsid w:val="00DE2671"/>
    <w:rsid w:val="00E11DE3"/>
    <w:rsid w:val="00EE1143"/>
    <w:rsid w:val="00EE3AC3"/>
    <w:rsid w:val="00F22122"/>
    <w:rsid w:val="00F864E1"/>
    <w:rsid w:val="00FB7B1B"/>
    <w:rsid w:val="01CC7CF9"/>
    <w:rsid w:val="032E00A4"/>
    <w:rsid w:val="038A1BB2"/>
    <w:rsid w:val="03FA60FE"/>
    <w:rsid w:val="04AC3304"/>
    <w:rsid w:val="06FF3C31"/>
    <w:rsid w:val="0BCB4F7F"/>
    <w:rsid w:val="0E5A1EB4"/>
    <w:rsid w:val="18DF1B36"/>
    <w:rsid w:val="235D0112"/>
    <w:rsid w:val="3275602C"/>
    <w:rsid w:val="38E12F30"/>
    <w:rsid w:val="3AF90CE3"/>
    <w:rsid w:val="3E5720B6"/>
    <w:rsid w:val="3EDB2624"/>
    <w:rsid w:val="47E12387"/>
    <w:rsid w:val="4B250F81"/>
    <w:rsid w:val="4FCB7289"/>
    <w:rsid w:val="5D283143"/>
    <w:rsid w:val="60935185"/>
    <w:rsid w:val="621A18F1"/>
    <w:rsid w:val="625A569F"/>
    <w:rsid w:val="66ED2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qFormat="1" w:unhideWhenUsed="0" w:uiPriority="0" w:semiHidden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qFormat="1" w:unhideWhenUsed="0" w:uiPriority="0" w:semiHidden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qFormat="1" w:unhideWhenUsed="0" w:uiPriority="0" w:semiHidden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jc w:val="center"/>
    </w:pPr>
    <w:rPr>
      <w:rFonts w:ascii="宋体" w:hAnsi="宋体" w:eastAsia="宋体" w:cs="宋体"/>
      <w:bCs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3">
    <w:name w:val="heading 4"/>
    <w:basedOn w:val="1"/>
    <w:next w:val="1"/>
    <w:link w:val="25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sz w:val="28"/>
      <w:szCs w:val="28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ind w:firstLine="420" w:firstLineChars="200"/>
    </w:pPr>
  </w:style>
  <w:style w:type="paragraph" w:styleId="5">
    <w:name w:val="Body Text"/>
    <w:basedOn w:val="1"/>
    <w:next w:val="1"/>
    <w:link w:val="20"/>
    <w:qFormat/>
    <w:uiPriority w:val="0"/>
    <w:pPr>
      <w:spacing w:after="120"/>
    </w:pPr>
  </w:style>
  <w:style w:type="paragraph" w:styleId="6">
    <w:name w:val="Plain Text"/>
    <w:basedOn w:val="1"/>
    <w:qFormat/>
    <w:uiPriority w:val="0"/>
  </w:style>
  <w:style w:type="paragraph" w:styleId="7">
    <w:name w:val="Body Text Indent 2"/>
    <w:basedOn w:val="1"/>
    <w:qFormat/>
    <w:uiPriority w:val="0"/>
    <w:pPr>
      <w:spacing w:line="360" w:lineRule="auto"/>
      <w:ind w:firstLine="560" w:firstLineChars="200"/>
    </w:pPr>
    <w:rPr>
      <w:rFonts w:ascii="Times New Roman" w:hAnsi="Times New Roman"/>
      <w:sz w:val="24"/>
    </w:rPr>
  </w:style>
  <w:style w:type="paragraph" w:styleId="8">
    <w:name w:val="Balloon Text"/>
    <w:basedOn w:val="1"/>
    <w:link w:val="17"/>
    <w:qFormat/>
    <w:uiPriority w:val="0"/>
    <w:rPr>
      <w:sz w:val="18"/>
      <w:szCs w:val="18"/>
    </w:rPr>
  </w:style>
  <w:style w:type="paragraph" w:styleId="9">
    <w:name w:val="footer"/>
    <w:basedOn w:val="1"/>
    <w:link w:val="1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13">
    <w:name w:val="Table Grid"/>
    <w:basedOn w:val="1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paragraph" w:customStyle="1" w:styleId="16">
    <w:name w:val="首行缩进正文"/>
    <w:autoRedefine/>
    <w:qFormat/>
    <w:uiPriority w:val="99"/>
    <w:pPr>
      <w:widowControl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宋体"/>
      <w:kern w:val="2"/>
      <w:sz w:val="24"/>
      <w:szCs w:val="24"/>
      <w:lang w:val="en-US" w:eastAsia="zh-CN" w:bidi="ar-SA"/>
    </w:rPr>
  </w:style>
  <w:style w:type="character" w:customStyle="1" w:styleId="17">
    <w:name w:val="批注框文本 字符"/>
    <w:basedOn w:val="14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页眉 字符"/>
    <w:basedOn w:val="14"/>
    <w:link w:val="10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9">
    <w:name w:val="页脚 字符"/>
    <w:basedOn w:val="14"/>
    <w:link w:val="9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0">
    <w:name w:val="正文文本 字符"/>
    <w:basedOn w:val="14"/>
    <w:link w:val="5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paragraph" w:styleId="21">
    <w:name w:val="List Paragraph"/>
    <w:basedOn w:val="1"/>
    <w:unhideWhenUsed/>
    <w:qFormat/>
    <w:uiPriority w:val="99"/>
    <w:pPr>
      <w:ind w:firstLine="420" w:firstLineChars="200"/>
    </w:pPr>
  </w:style>
  <w:style w:type="paragraph" w:customStyle="1" w:styleId="22">
    <w:name w:val="证文"/>
    <w:basedOn w:val="1"/>
    <w:qFormat/>
    <w:uiPriority w:val="0"/>
    <w:pPr>
      <w:spacing w:line="360" w:lineRule="auto"/>
    </w:pPr>
  </w:style>
  <w:style w:type="paragraph" w:customStyle="1" w:styleId="23">
    <w:name w:val="正文2"/>
    <w:basedOn w:val="1"/>
    <w:next w:val="1"/>
    <w:qFormat/>
    <w:uiPriority w:val="0"/>
    <w:pPr>
      <w:snapToGrid w:val="0"/>
      <w:spacing w:line="520" w:lineRule="exact"/>
      <w:ind w:firstLine="200"/>
      <w:jc w:val="left"/>
      <w:outlineLvl w:val="3"/>
    </w:pPr>
    <w:rPr>
      <w:kern w:val="0"/>
    </w:rPr>
  </w:style>
  <w:style w:type="paragraph" w:customStyle="1" w:styleId="24">
    <w:name w:val="样式1"/>
    <w:basedOn w:val="1"/>
    <w:next w:val="3"/>
    <w:qFormat/>
    <w:uiPriority w:val="0"/>
    <w:pPr>
      <w:widowControl w:val="0"/>
      <w:spacing w:after="160" w:line="312" w:lineRule="auto"/>
      <w:jc w:val="left"/>
    </w:pPr>
    <w:rPr>
      <w:rFonts w:asciiTheme="minorHAnsi" w:hAnsiTheme="minorHAnsi" w:eastAsiaTheme="minorEastAsia" w:cstheme="minorBidi"/>
      <w:bCs w:val="0"/>
      <w:sz w:val="28"/>
    </w:rPr>
  </w:style>
  <w:style w:type="character" w:customStyle="1" w:styleId="25">
    <w:name w:val="标题 4 字符"/>
    <w:basedOn w:val="14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paragraph" w:customStyle="1" w:styleId="26">
    <w:name w:val="Table Text"/>
    <w:basedOn w:val="1"/>
    <w:semiHidden/>
    <w:qFormat/>
    <w:uiPriority w:val="0"/>
    <w:rPr>
      <w:rFonts w:ascii="Arial" w:hAnsi="Arial" w:eastAsia="Arial" w:cs="Arial"/>
      <w:szCs w:val="21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5604E8-4797-494A-80AA-B1BF72EEED8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665</Words>
  <Characters>697</Characters>
  <Lines>110</Lines>
  <Paragraphs>31</Paragraphs>
  <TotalTime>6</TotalTime>
  <ScaleCrop>false</ScaleCrop>
  <LinksUpToDate>false</LinksUpToDate>
  <CharactersWithSpaces>697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2026-04-30T06:46:00Z</dcterms:created>
  <dc:creator>198----0168</dc:creator>
  <cp:lastModifiedBy>Ivan闫ཻ༵⁽⁽ଘ</cp:lastModifiedBy>
  <cp:lastPrinted>2026-04-29T07:46:00Z</cp:lastPrinted>
  <dcterms:modified xsi:type="dcterms:W3CDTF">2026-05-06T08:57:56Z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C1B2A53302924B9BA678C6C2A1321468_13</vt:lpwstr>
  </property>
  <property fmtid="{D5CDD505-2E9C-101B-9397-08002B2CF9AE}" pid="4" name="KSOTemplateDocerSaveRecord">
    <vt:lpwstr>eyJoZGlkIjoiOTNhZTY5YmNkODk5ZWQwNTU5OGRiNThiNTBiMTYyM2MiLCJ1c2VySWQiOiI1NzkyMDQ1NjcifQ==</vt:lpwstr>
  </property>
</Properties>
</file>