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80" w:lineRule="exact"/>
        <w:jc w:val="center"/>
        <w:rPr>
          <w:rFonts w:ascii="方正小标宋简体" w:eastAsia="方正小标宋简体"/>
          <w:color w:val="FF0000"/>
          <w:spacing w:val="40"/>
          <w:w w:val="60"/>
          <w:sz w:val="96"/>
          <w:szCs w:val="96"/>
        </w:rPr>
      </w:pPr>
    </w:p>
    <w:p>
      <w:pPr>
        <w:snapToGrid w:val="0"/>
        <w:jc w:val="center"/>
        <w:rPr>
          <w:rFonts w:ascii="方正小标宋简体" w:eastAsia="方正小标宋简体"/>
          <w:color w:val="FF0000"/>
          <w:spacing w:val="0"/>
          <w:w w:val="62"/>
          <w:sz w:val="96"/>
          <w:szCs w:val="96"/>
        </w:rPr>
      </w:pPr>
      <w:r>
        <w:rPr>
          <w:rFonts w:hint="eastAsia" w:ascii="方正小标宋简体" w:eastAsia="方正小标宋简体"/>
          <w:color w:val="FF0000"/>
          <w:spacing w:val="0"/>
          <w:w w:val="62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0000"/>
          <w:spacing w:val="0"/>
          <w:w w:val="62"/>
          <w:sz w:val="96"/>
          <w:szCs w:val="96"/>
        </w:rPr>
        <w:t>建设局</w:t>
      </w:r>
      <w:r>
        <w:rPr>
          <w:rFonts w:hint="eastAsia" w:ascii="方正小标宋简体" w:eastAsia="方正小标宋简体"/>
          <w:color w:val="FF0000"/>
          <w:spacing w:val="0"/>
          <w:w w:val="62"/>
          <w:sz w:val="96"/>
          <w:szCs w:val="96"/>
        </w:rPr>
        <w:t>文件</w:t>
      </w: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tabs>
          <w:tab w:val="left" w:pos="10190"/>
        </w:tabs>
        <w:snapToGrid w:val="0"/>
        <w:spacing w:beforeLines="10" w:line="460" w:lineRule="exact"/>
        <w:ind w:firstLine="313" w:firstLineChars="98"/>
        <w:jc w:val="center"/>
        <w:rPr>
          <w:rFonts w:ascii="Times New Roman" w:hAnsi="Times New Roman" w:eastAsia="仿宋_GB2312"/>
          <w:sz w:val="32"/>
          <w:szCs w:val="32"/>
        </w:rPr>
      </w:pPr>
      <w:bookmarkStart w:id="2" w:name="_GoBack"/>
      <w:bookmarkStart w:id="0" w:name="文号"/>
      <w:r>
        <w:rPr>
          <w:rFonts w:hint="eastAsia" w:ascii="Times New Roman" w:hAnsi="Times New Roman" w:eastAsia="仿宋_GB2312"/>
          <w:sz w:val="32"/>
          <w:szCs w:val="32"/>
        </w:rPr>
        <w:t>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建物监</w:t>
      </w:r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181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  <w:bookmarkEnd w:id="0"/>
    </w:p>
    <w:bookmarkEnd w:id="2"/>
    <w:p>
      <w:pPr>
        <w:snapToGrid w:val="0"/>
        <w:spacing w:beforeLines="10" w:line="460" w:lineRule="exact"/>
        <w:rPr>
          <w:rFonts w:ascii="仿宋_GB2312" w:hAnsi="Batang" w:eastAsia="仿宋_GB2312"/>
          <w:sz w:val="44"/>
        </w:rPr>
      </w:pPr>
      <w:r>
        <w:rPr>
          <w:rFonts w:ascii="仿宋_GB2312" w:hAnsi="Batang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572125" cy="635"/>
                <wp:effectExtent l="0" t="13970" r="9525" b="23495"/>
                <wp:wrapNone/>
                <wp:docPr id="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.25pt;margin-top:7.75pt;height:0.05pt;width:438.75pt;z-index:251659264;mso-width-relative:page;mso-height-relative:page;" filled="f" stroked="t" coordsize="21600,21600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BUJ4XVAAAABwEAAA8AAAAAAAAAAQAgAAAAIgAAAGRycy9kb3ducmV2LnhtbFBLAQIUABQAAAAI&#10;AIdO4kDsq/tp8AEAAO0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宋体" w:hAnsi="宋体" w:cs="宋体"/>
          <w:sz w:val="44"/>
          <w:szCs w:val="44"/>
        </w:rPr>
      </w:pPr>
      <w:bookmarkStart w:id="1" w:name="附件"/>
      <w:bookmarkEnd w:id="1"/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连云港市住房和城乡建设局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关于2022年连云港市物业行业创建全国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文明城市工作任务的通知</w:t>
      </w:r>
    </w:p>
    <w:p>
      <w:pPr>
        <w:spacing w:line="560" w:lineRule="exact"/>
        <w:jc w:val="center"/>
        <w:rPr>
          <w:rFonts w:hint="eastAsia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各县区（功能板块）住建局、各物业服务企业：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为了完成市委市政府部署的本年度创建全国文明城市任务，迎接国家文明办的检查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，现就物业行业参与创建工作相关任务通知如下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一、各单位要高度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视，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对照全国文明城市创建最新体系标准，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把创文工作列入议事日程。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二、要对照任务清单完成网上申报、实地考察、调查问卷内容，确保不漏项。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三、市物业行业党委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督查组到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各物管小区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督查创文开展情况。对于创文工作建立组织机构、工作机制，按照时间节点完成任务的，给予表彰。对于敷衍应付，没有落实创文工作内容，被国家创文办检查出问题扣分，影响创文成绩的，给予通报批评。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附件：市住建局物业处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2022年创建全国文明城市工作</w:t>
      </w:r>
    </w:p>
    <w:p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任务分解方案</w:t>
      </w:r>
    </w:p>
    <w:p>
      <w:pPr>
        <w:ind w:firstLine="1920" w:firstLine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1920" w:firstLine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1920" w:firstLine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1920" w:firstLine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1920" w:firstLine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连云港市住房和城乡建设局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Bdr>
          <w:top w:val="single" w:color="auto" w:sz="4" w:space="0"/>
          <w:bottom w:val="single" w:color="auto" w:sz="4" w:space="0"/>
        </w:pBdr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连云港市住房和城乡建设局办公室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2022年6月15日印发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市住建局物业处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2022年创建全国文明城市工作任务分解方案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一、网上申报部分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67"/>
        <w:gridCol w:w="3402"/>
        <w:gridCol w:w="6096"/>
        <w:gridCol w:w="12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42" w:type="dxa"/>
            <w:noWrap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指标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名称</w:t>
            </w:r>
          </w:p>
        </w:tc>
        <w:tc>
          <w:tcPr>
            <w:tcW w:w="106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测评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内容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测评标准</w:t>
            </w:r>
          </w:p>
        </w:tc>
        <w:tc>
          <w:tcPr>
            <w:tcW w:w="609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网上申报具体要求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局责任部门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Ⅱ-3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文明培育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Ⅲ-15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制作刊播展示公益广告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2）坚持思想性、艺术性、观赏性、耐久性相结合，设计制作与城市景观相融合、与城市历史文化相承接、与市民接受方式和欣赏习惯相契合的公益广告，在社会公共场所、公共交通工具、建筑工地围挡等显著位置刊播展示，把社会主义核心价值观和文明风尚有机融入各类生活场景。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楷体_GB2312" w:hAnsi="楷体_GB2312" w:eastAsia="楷体_GB2312" w:cs="楷体_GB2312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①提供社区（小区）、政务大厅、公共文化设施、宾馆饭店、商场超市、农贸（集贸、批发）市场、广场公园、景区景点、交通场站（机场、火车站、长途汽车站、码头）、公交（地铁）车站等公共场所刊播展示公益广告的现场照片；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</w:rPr>
              <w:t>（责任单位：宣传部、住建局、城管局、交通局、商务局、文广旅局、政务办、市场监管局、港口控股集团、城建控股集团、交通控股集团、机场、火车站、各区、功能板块）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注：①公益广告有统一的规划设计，内容、色调与城市景观风貌相融合；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物业处、园林处、扬尘办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Ⅱ-10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公民权益维护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Ⅲ-33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分众化做好公民权益保护工作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3）开展人口老龄化国情教育，加强养老服务设施建设，构建养老服务体系，健全养老服务综合监管制度，加快推进信息无障碍建设，加强老年人防范诈骗知识宣传。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260" w:lineRule="exact"/>
              <w:rPr>
                <w:rFonts w:hint="default" w:ascii="楷体_GB2312" w:hAnsi="楷体_GB2312" w:eastAsia="楷体_GB2312" w:cs="楷体_GB2312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</w:rPr>
              <w:t>①提供本市开展人口老龄化国情教育，加强养老服务设施建设，构建养老服务体系，健全养老服务综合监管制度的说明报告；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（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</w:rPr>
              <w:t>责任单位：★民政局、发改委、公安局、住建局、市场监管局、卫健委、自然资源和规划局、老龄委）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②提供本市新（改、扩）建小区配套建设养老服务设施的现场照片；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</w:rPr>
              <w:t>（责任单位：民政局、自然资源和规划局、住建局；各区、功能板块）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①由民政局整合汇总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物业处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Ⅱ-20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城市市容市貌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Ⅲ-52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加强社区治理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）加强城乡社区治理和服务体系建设，健全城乡社区综合服务设施网络，构建网格化管理、精细化服务、信息化支撑、开放共享的基层管理服务平台，建设包括便民市场、运动场地、文化活动中心、社区服务中心、医疗服务机构在内的15分钟生活圈，加快推进老旧小区改造，完善小区配套基础设施、公共服务设施；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①提供本市加强城乡社区治理和服务体系建设，健全城乡社区综合服务设施网络，构建网格化管理、精细化服务、信息化支撑、开放共享的基层管理服务平台的说明报告；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</w:rPr>
              <w:t>（责任单位：★民政局、政法委、工信局、住建局、商务局、各区、功能板块）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②提供本市推进老旧小区改造的说明报告。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</w:rPr>
              <w:t>（责任单位：★住建局；各区、功能板块）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①由民政局整合汇总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②由住建局整合汇总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物业处、物管中心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Ⅱ-21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健康中国建设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Ⅲ-53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保障人民健康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3）深入推进爱国卫生运动，推进医养结合发展，依托本地医疗卫生服务机构和宣传文化阵地普及卫生健康知识、传染病防控和应急救护知识，全市居民健康素养水平逐年提升不低于1个百分点。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default" w:ascii="楷体_GB2312" w:hAnsi="楷体_GB2312" w:eastAsia="楷体_GB2312" w:cs="楷体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①提供本市推进医养结合发展的说明报告；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</w:rPr>
              <w:t>（责任单位：★卫健委、发改委、教育局、民政局、财政局、人社局、住建局、市场监管局、医保局）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①由卫健委整合汇总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物业处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Ⅱ-24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公共安全体系建设</w:t>
            </w: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Ⅲ-56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加强公共安全保障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1）加强社会治安防控体系建设，加强消防安全防控体系建设，完善公共安全视频监控建设联网应用，社会面、重点单位及社区物防、技防、人防水平符合安全要求；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default" w:ascii="楷体_GB2312" w:hAnsi="楷体_GB2312" w:eastAsia="楷体_GB2312" w:cs="楷体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②提供本市完善公共安全视频监控建设联网应用的说明报告；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</w:rPr>
              <w:t>（责任单位：★政法委、教育局、公安局、住建局）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②由政法委整合汇总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ind w:firstLine="101" w:firstLineChars="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物业处</w:t>
            </w:r>
          </w:p>
        </w:tc>
      </w:tr>
    </w:tbl>
    <w:p/>
    <w:p/>
    <w:p/>
    <w:p/>
    <w:p/>
    <w:p/>
    <w:p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30"/>
          <w:kern w:val="0"/>
          <w:sz w:val="32"/>
          <w:szCs w:val="32"/>
        </w:rPr>
        <w:t>实地考察部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分</w:t>
      </w:r>
    </w:p>
    <w:tbl>
      <w:tblPr>
        <w:tblStyle w:val="7"/>
        <w:tblpPr w:leftFromText="180" w:rightFromText="180" w:vertAnchor="text" w:horzAnchor="page" w:tblpX="1406" w:tblpY="8"/>
        <w:tblOverlap w:val="never"/>
        <w:tblW w:w="140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134"/>
        <w:gridCol w:w="3478"/>
        <w:gridCol w:w="5877"/>
        <w:gridCol w:w="1134"/>
        <w:gridCol w:w="1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39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Style w:val="14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标名指称</w:t>
            </w:r>
          </w:p>
        </w:tc>
        <w:tc>
          <w:tcPr>
            <w:tcW w:w="1134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Style w:val="14"/>
                <w:rFonts w:hint="default" w:ascii="Times New Roman" w:hAnsi="Times New Roman" w:eastAsia="仿宋_GB2312" w:cs="Times New Roman"/>
                <w:color w:val="auto"/>
                <w:spacing w:val="-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测评内容</w:t>
            </w:r>
          </w:p>
        </w:tc>
        <w:tc>
          <w:tcPr>
            <w:tcW w:w="3478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测评标准</w:t>
            </w:r>
          </w:p>
        </w:tc>
        <w:tc>
          <w:tcPr>
            <w:tcW w:w="5877" w:type="dxa"/>
            <w:shd w:val="clear" w:color="000000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具体要求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牵头单位</w:t>
            </w:r>
          </w:p>
        </w:tc>
        <w:tc>
          <w:tcPr>
            <w:tcW w:w="13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局责任处室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4" w:hRule="atLeast"/>
        </w:trPr>
        <w:tc>
          <w:tcPr>
            <w:tcW w:w="1139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Ⅱ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-3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Cs w:val="21"/>
              </w:rPr>
              <w:t>文明培育</w:t>
            </w:r>
          </w:p>
        </w:tc>
        <w:tc>
          <w:tcPr>
            <w:tcW w:w="1134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Style w:val="14"/>
                <w:rFonts w:hint="default" w:ascii="Times New Roman" w:hAnsi="Times New Roman" w:eastAsia="仿宋_GB2312" w:cs="Times New Roman"/>
                <w:color w:val="auto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>Ⅲ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pacing w:val="-20"/>
                <w:szCs w:val="21"/>
              </w:rPr>
              <w:t>-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pacing w:val="-20"/>
                <w:sz w:val="21"/>
                <w:szCs w:val="21"/>
              </w:rPr>
              <w:t>15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pacing w:val="-20"/>
                <w:szCs w:val="21"/>
              </w:rPr>
              <w:t>制作刊播展示公益广告</w:t>
            </w:r>
          </w:p>
        </w:tc>
        <w:tc>
          <w:tcPr>
            <w:tcW w:w="3478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4"/>
              </w:rPr>
              <w:t>2）坚持思想性、艺术性、观赏性、耐久性相结合，设计制作与城市景观相融合、与城市历史文化相承接、与市民接受方式和欣赏习惯相契合的公益广告，在社会公共场所、公共交通工具、建筑工地围挡等显著位置刊播展示，把社会主义核心价值观和文明风尚有机融入各类生活场景。</w:t>
            </w:r>
          </w:p>
        </w:tc>
        <w:tc>
          <w:tcPr>
            <w:tcW w:w="5877" w:type="dxa"/>
            <w:shd w:val="clear" w:color="000000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次干道、商业大街、公共广场、公园、景区景点、学校、医院、社区（小区）、新时代文明实践中心（所、站）、公共文化设施、商场超市、农贸（集贸、批发）市场、宾馆饭店、政务大厅、银行网点、（邮政、移动、电信、联通）营业厅、公交（地铁）车站、交通场站（机场、火车站、长途汽车站、码头、汽车总站）等公共场所: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：①主要街道每隔200米至少有1处能够看到的公益广告，每2个公交（地铁）车站设有不少于1处公益广告，学校、医院、社区（小区）、新时代文明实践中心（所、站）、宾馆饭店、银行网点、（邮政、移动、电信、联通）营业厅显著位置展示不少于1处公益广告，商场超市、农贸（集贸、批发）市场在显著位置展示不少于1处诚信建设公益广告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②省级以上文明社区、政务大厅、公共文化设施、广场公园、景区景点、交通场站（机场、火车站、长途汽车站、码头、汽车总站）显著位置有公益广告景观小品；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③公益广告有统一规划设计，内容、色调与周围的城市景观风貌相融合；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kern w:val="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④公益广告宣传突出思想性，兼顾艺术性、观赏性、耐久性，内容无书写错误、表述不规范或与党中央精神不相符的问题，无明显的褪色、污损或被小广告张贴占用的现象。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Cs w:val="24"/>
              </w:rPr>
              <w:t>（城管局、住建局、文广旅局、教育局、卫健委、商务局、市场监管局、政务办、银保监分局、工信局、通管办、通信行业、邮政公司、交通局、花果山机场公司、火车站、交通控股集团、城建控股集团、农发集团；各区、功能板块）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宣传部</w:t>
            </w:r>
          </w:p>
        </w:tc>
        <w:tc>
          <w:tcPr>
            <w:tcW w:w="13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园林处、物业处、公用处、质安处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0" w:hRule="atLeast"/>
        </w:trPr>
        <w:tc>
          <w:tcPr>
            <w:tcW w:w="1139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4"/>
              </w:rPr>
              <w:t>Ⅱ</w:t>
            </w:r>
            <w:r>
              <w:rPr>
                <w:rFonts w:hint="default" w:ascii="Times New Roman" w:hAnsi="Times New Roman" w:eastAsia="仿宋_GB2312" w:cs="Times New Roman"/>
              </w:rPr>
              <w:t>-3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文明培育</w:t>
            </w:r>
          </w:p>
        </w:tc>
        <w:tc>
          <w:tcPr>
            <w:tcW w:w="1134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4"/>
              </w:rPr>
              <w:t>Ⅲ</w:t>
            </w:r>
            <w:r>
              <w:rPr>
                <w:rFonts w:hint="default" w:ascii="Times New Roman" w:hAnsi="Times New Roman" w:eastAsia="仿宋_GB2312" w:cs="Times New Roman"/>
              </w:rPr>
              <w:t>-16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强化公共文明引导</w:t>
            </w:r>
          </w:p>
        </w:tc>
        <w:tc>
          <w:tcPr>
            <w:tcW w:w="3478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4"/>
              </w:rPr>
              <w:t>1）公共场所文明有序，无争吵谩骂、使用低俗语言、乱扔杂物、随地吐痰、打喷嚏咳嗽不掩口鼻、损坏公共设施、占用和堵塞消防通道、不文明养宠及其他不文明行为，落实文明观赛观演、文明竞赛有关要求；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877" w:type="dxa"/>
            <w:shd w:val="clear" w:color="000000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4"/>
              </w:rPr>
              <w:t>主次干道、商业大街、背街小巷、公共广场、公园、景区景点、公交车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（地铁）、公交（地铁）车站、医院、社区（小区）、城乡接合部、交通场站（机场、火车站、长途汽车站、码头、汽车总站）及周边、城市商贸综合体和综合写字楼及周边、商场超市及周边、学校及周边、农贸（集贸、批发）市场及周边：</w:t>
            </w:r>
          </w:p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①无争吵谩骂、使用低俗语言现象；</w:t>
            </w:r>
          </w:p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②无乱扔杂物、车窗抛物现象；</w:t>
            </w:r>
          </w:p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③无随地吐痰、打喷嚏咳嗽不掩口鼻现象；</w:t>
            </w:r>
          </w:p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④无损坏公共设施现象；</w:t>
            </w:r>
          </w:p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⑤无占用和堵塞消防通道现象；</w:t>
            </w:r>
          </w:p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⑥无不文明养宠现象；</w:t>
            </w:r>
          </w:p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⑦无躺卧公共座椅现象；</w:t>
            </w:r>
          </w:p>
          <w:p>
            <w:pPr>
              <w:widowControl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⑧有序排队，保持适当距离，无插队现象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Cs w:val="24"/>
              </w:rPr>
              <w:t>（住建局、文广旅局、卫健委、交通局、教育局、商务局、市场监管局、交通控股集团、花果山机场公司、火车站、消防救援支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Cs w:val="21"/>
              </w:rPr>
              <w:t>队、农发集团；各区、功能板块）</w:t>
            </w:r>
            <w:r>
              <w:rPr>
                <w:rFonts w:hint="default" w:ascii="Times New Roman" w:hAnsi="Times New Roman" w:eastAsia="楷体_GB2312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4"/>
              </w:rPr>
              <w:t>文明办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4"/>
              </w:rPr>
              <w:t>城管局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4"/>
              </w:rPr>
              <w:t>公安局</w:t>
            </w:r>
          </w:p>
        </w:tc>
        <w:tc>
          <w:tcPr>
            <w:tcW w:w="1309" w:type="dxa"/>
            <w:shd w:val="clear" w:color="000000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4"/>
              </w:rPr>
              <w:t>物业处、园林处、市政处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139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Ⅱ-15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公共文化服务</w:t>
            </w:r>
          </w:p>
        </w:tc>
        <w:tc>
          <w:tcPr>
            <w:tcW w:w="1134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>Ⅲ-42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</w:rPr>
              <w:t>完善基层文化设施</w:t>
            </w:r>
          </w:p>
        </w:tc>
        <w:tc>
          <w:tcPr>
            <w:tcW w:w="3478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</w:rPr>
              <w:t>）城乡社区均建有全民健身场地设施且设施状况良好，新建居住区和社区人均室外体育用地面积≥0.3平方米、人均室内体育用地建筑面积≥0.1平方米，人均体育场地面积≥2.3平方米。</w:t>
            </w:r>
          </w:p>
        </w:tc>
        <w:tc>
          <w:tcPr>
            <w:tcW w:w="5877" w:type="dxa"/>
            <w:shd w:val="clear" w:color="000000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社区（小区）：</w:t>
            </w:r>
          </w:p>
          <w:p>
            <w:pPr>
              <w:widowControl/>
              <w:textAlignment w:val="center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①建有全民健身场地设施；</w:t>
            </w:r>
          </w:p>
          <w:p>
            <w:pPr>
              <w:widowControl/>
              <w:jc w:val="left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②设施状况良好。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Cs w:val="21"/>
              </w:rPr>
              <w:t>（住建局；各区、功能板块）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体育局</w:t>
            </w:r>
          </w:p>
        </w:tc>
        <w:tc>
          <w:tcPr>
            <w:tcW w:w="13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物业处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139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Ⅱ-20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城市市容市貌</w:t>
            </w:r>
          </w:p>
        </w:tc>
        <w:tc>
          <w:tcPr>
            <w:tcW w:w="1134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Ⅲ-49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建设优美环境</w:t>
            </w:r>
          </w:p>
        </w:tc>
        <w:tc>
          <w:tcPr>
            <w:tcW w:w="3478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）城市公共场所无积存垃圾、纸屑、烟蒂、污物现象，无乱张贴乱涂写乱刻画现象，建筑物外立面整体干净、无大面积破损污损，垃圾收集站、垃圾转运站、公共卫生间设施干净，周围无垃圾污水污迹、无明显异味；</w:t>
            </w:r>
          </w:p>
        </w:tc>
        <w:tc>
          <w:tcPr>
            <w:tcW w:w="5877" w:type="dxa"/>
            <w:shd w:val="clear" w:color="000000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主次干道、商业大街、背街小巷、公共广场、公园、景区景点、公交车（地铁）、公交（地铁）车站、医院及周边、社区（小区）、城乡接合部、交通场站（机场、火车站、长途汽车站、码头、汽车总站）及周边、城市商贸综合体和综合写字楼及周边、商场超市及周边、农贸（集贸、批发）市场及周边：</w:t>
            </w:r>
          </w:p>
          <w:p>
            <w:pPr>
              <w:widowControl/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①垃圾清运及时、分类收集，无积存垃圾、纸屑、烟蒂、污物现象；</w:t>
            </w:r>
          </w:p>
          <w:p>
            <w:pPr>
              <w:widowControl/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②无乱张贴乱涂写乱刻画现象；</w:t>
            </w:r>
          </w:p>
          <w:p>
            <w:pPr>
              <w:widowControl/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③建筑物外立面整体干净、无大面积破损污损；</w:t>
            </w:r>
          </w:p>
          <w:p>
            <w:pPr>
              <w:widowControl/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④垃圾收集站、垃圾转运站、公共卫生间设施干净，周围无垃圾污水污迹、无明显异味。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Cs w:val="21"/>
              </w:rPr>
              <w:t>（住建局、文广旅局、市场监管局、交通局、交通控股集团、卫健委、商务局、花果山机场公司、火车站、城建控股集团、农发集团；各区、功能板块）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城管局</w:t>
            </w:r>
          </w:p>
        </w:tc>
        <w:tc>
          <w:tcPr>
            <w:tcW w:w="1309" w:type="dxa"/>
            <w:shd w:val="clear" w:color="000000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园林处、物业处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 w:hRule="atLeast"/>
        </w:trPr>
        <w:tc>
          <w:tcPr>
            <w:tcW w:w="1139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Ⅱ-20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城市市容市貌</w:t>
            </w:r>
          </w:p>
        </w:tc>
        <w:tc>
          <w:tcPr>
            <w:tcW w:w="1134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Ⅲ-50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保持城市整洁</w:t>
            </w:r>
          </w:p>
        </w:tc>
        <w:tc>
          <w:tcPr>
            <w:tcW w:w="3478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2）各种空中缆线整齐规范、无乱拉乱设，广告设施和招牌高度、大小符合标准；</w:t>
            </w:r>
          </w:p>
        </w:tc>
        <w:tc>
          <w:tcPr>
            <w:tcW w:w="5877" w:type="dxa"/>
            <w:shd w:val="clear" w:color="000000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主次干道、商业大街、背街小巷、公共广场、公园、景区景点、公交车（地铁）、公交（地铁）车站、医院及周边、社区（小区）、城乡接合部、交通场站（机场、火车站、长途汽车站、码头、汽车总站）及周边、城市商贸综合体和综合写字楼及周边、商场超市及周边、农贸（集贸、批发）市场及周边：</w:t>
            </w:r>
          </w:p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各种空中缆线整齐规范、无乱拉乱设、飞线充电现象；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②广告设施和招牌高度、大小符合标准。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Cs w:val="21"/>
              </w:rPr>
              <w:t>（住建局、供电公司、通信行业、商务局、文广旅局、卫健委、交通局、交通控股集团、市场监管局、机场公司、火车站、城建控股集团、农发集团；各区、功能板块）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城管局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通管办</w:t>
            </w:r>
          </w:p>
        </w:tc>
        <w:tc>
          <w:tcPr>
            <w:tcW w:w="13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物业处、园林处、市市政公用事业发展中心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1" w:hRule="atLeast"/>
        </w:trPr>
        <w:tc>
          <w:tcPr>
            <w:tcW w:w="1139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Ⅱ-20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城市市容市貌</w:t>
            </w:r>
          </w:p>
        </w:tc>
        <w:tc>
          <w:tcPr>
            <w:tcW w:w="1134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Ⅲ-52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加强社区治理</w:t>
            </w:r>
          </w:p>
        </w:tc>
        <w:tc>
          <w:tcPr>
            <w:tcW w:w="3478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</w:rPr>
              <w:t>）加强城乡社区治理和服务体系建设，健全城乡社区综合服务设施网络，构建网格化管理、精细化服务、信息化支撑、开放共享的基层管理服务平台，建设包括便民市场、运动场地、文化活动中心、社区服务中心、医疗服务机构在内的15分钟生活圈，加快推进老旧小区改造，完善小区配套基础设施、公共服务设施；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2）社区（小区）环境绿化美化，卫生状况良好、无脏乱差现象，路面硬化平整，排水设施完善、无明显坑洼积水，停车规范有序，楼门内干净整洁，楼道无堵塞，墙面、玻璃无污秽破损、小广告乱张贴乱涂画，照明灯完好。</w:t>
            </w:r>
          </w:p>
        </w:tc>
        <w:tc>
          <w:tcPr>
            <w:tcW w:w="5877" w:type="dxa"/>
            <w:shd w:val="clear" w:color="000000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社区</w:t>
            </w:r>
            <w:r>
              <w:rPr>
                <w:rFonts w:hint="default" w:ascii="Times New Roman" w:hAnsi="Times New Roman" w:eastAsia="仿宋_GB2312" w:cs="Times New Roman"/>
              </w:rPr>
              <w:t>（小区）：</w:t>
            </w:r>
          </w:p>
          <w:p>
            <w:pPr>
              <w:widowControl/>
              <w:textAlignment w:val="center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①环境绿化美化，卫生状况良好；</w:t>
            </w:r>
          </w:p>
          <w:p>
            <w:pPr>
              <w:widowControl/>
              <w:textAlignment w:val="center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②路面硬化平整，排水设施完善、无明显坑洼积水；</w:t>
            </w:r>
          </w:p>
          <w:p>
            <w:pPr>
              <w:widowControl/>
              <w:textAlignment w:val="center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③停车规范有序，无乱停乱放、堵塞小区道路和楼道现象；</w:t>
            </w:r>
          </w:p>
          <w:p>
            <w:pPr>
              <w:widowControl/>
              <w:textAlignment w:val="center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④生活垃圾定点投放、分类投放，有分类垃圾箱（桶）或垃圾分类投放点，垃圾房、箱（桶）完好、整洁；</w:t>
            </w:r>
          </w:p>
          <w:p>
            <w:pPr>
              <w:widowControl/>
              <w:textAlignment w:val="center"/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⑤楼门内干净整洁，楼道无堵塞（居民门前鞋柜、边柜整齐规范且不影响正常通行和消防安全，不算作堵塞楼道），墙面、玻璃无污秽破损、无小广告乱张贴乱涂画，照明灯完好；</w:t>
            </w:r>
          </w:p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Cs w:val="21"/>
              </w:rPr>
              <w:t>⑥形成包括便民市场、运动场地、文化活动中心、社区服务中心、医疗服务机构在内的15分钟生活圈。</w:t>
            </w:r>
            <w:r>
              <w:rPr>
                <w:rFonts w:hint="default" w:ascii="Times New Roman" w:hAnsi="Times New Roman" w:eastAsia="仿宋_GB2312" w:cs="Times New Roman"/>
              </w:rPr>
              <w:t>。</w:t>
            </w:r>
          </w:p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Cs w:val="21"/>
              </w:rPr>
              <w:t>（民政局、政法委、市场监管局、体育局、卫健委、文广旅局）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住建局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各区、功能板块</w:t>
            </w:r>
          </w:p>
        </w:tc>
        <w:tc>
          <w:tcPr>
            <w:tcW w:w="13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物业处、物管中心</w:t>
            </w:r>
          </w:p>
        </w:tc>
      </w:tr>
    </w:tbl>
    <w:p>
      <w:pPr>
        <w:jc w:val="both"/>
        <w:rPr>
          <w:rFonts w:ascii="Times New Roman" w:hAnsi="Times New Roman" w:eastAsia="方正小标宋简体"/>
          <w:bCs/>
          <w:kern w:val="0"/>
          <w:sz w:val="44"/>
          <w:szCs w:val="44"/>
        </w:rPr>
      </w:pPr>
    </w:p>
    <w:p/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34"/>
        <w:gridCol w:w="3478"/>
        <w:gridCol w:w="5877"/>
        <w:gridCol w:w="1134"/>
        <w:gridCol w:w="1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  <w:jc w:val="center"/>
        </w:trPr>
        <w:tc>
          <w:tcPr>
            <w:tcW w:w="960" w:type="dxa"/>
            <w:vMerge w:val="restart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-24</w:t>
            </w:r>
          </w:p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公共安全体系建设</w:t>
            </w:r>
          </w:p>
        </w:tc>
        <w:tc>
          <w:tcPr>
            <w:tcW w:w="1134" w:type="dxa"/>
            <w:vMerge w:val="restart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-56</w:t>
            </w:r>
          </w:p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加强公共安全保障</w:t>
            </w:r>
          </w:p>
        </w:tc>
        <w:tc>
          <w:tcPr>
            <w:tcW w:w="3478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</w:rPr>
              <w:t>）加强社会治安防控体系建设，加强消防安全防控体系建设，完善公共安全视频监控建设联网应用，社会面、重点单位及社区物防、技防、人防水平符合安全要求；</w:t>
            </w:r>
          </w:p>
        </w:tc>
        <w:tc>
          <w:tcPr>
            <w:tcW w:w="5877" w:type="dxa"/>
            <w:shd w:val="clear" w:color="000000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政务大厅、医院、社区（小区）、交通场站（机场、火车站、长途汽车站、码头、汽车总站）及周边、城市商贸综合体和综合写字楼及周边、商场超市及周边、农贸（集贸、批发）市场及周边：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有符合标准的消防设施。</w:t>
            </w:r>
          </w:p>
          <w:p>
            <w:pPr>
              <w:widowControl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/>
                <w:b w:val="0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="楷体_GB2312"/>
                <w:b w:val="0"/>
                <w:bCs/>
                <w:kern w:val="0"/>
                <w:szCs w:val="21"/>
              </w:rPr>
              <w:t>政务办、卫健委、住建局、交通局、交通控股集团、商务局、市场监管局、农发集团、花果山机场公司、火车站；各区、功能板块</w:t>
            </w:r>
            <w:r>
              <w:rPr>
                <w:rFonts w:hint="default" w:ascii="Times New Roman" w:hAnsi="Times New Roman" w:eastAsia="楷体_GB2312"/>
                <w:b w:val="0"/>
                <w:bCs/>
                <w:kern w:val="0"/>
                <w:szCs w:val="21"/>
              </w:rPr>
              <w:t>）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消防救援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支队</w:t>
            </w:r>
          </w:p>
        </w:tc>
        <w:tc>
          <w:tcPr>
            <w:tcW w:w="13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kern w:val="0"/>
                <w:szCs w:val="21"/>
              </w:rPr>
              <w:t>物业处、审图中心、质安处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  <w:jc w:val="center"/>
        </w:trPr>
        <w:tc>
          <w:tcPr>
            <w:tcW w:w="960" w:type="dxa"/>
            <w:vMerge w:val="continue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134" w:type="dxa"/>
            <w:vMerge w:val="continue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478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）加强城市生命线系统建设，推进海绵城市、韧性城市建设，增强城市防洪排涝能力，管线、给排水、电力等设施完好，建（构）筑物及依附于建（构）筑物的玻璃幕墙、展板等安全牢固、完好无损，户外广告设施和招牌设置牢固可靠，用户龙头水合格率达到100%，生活污水集中收集率≥75%，建成区人均避难场所面积≥1.5平方米，窨井盖完好率≥98%，年度“生命线”事故数逐年下降。</w:t>
            </w:r>
          </w:p>
        </w:tc>
        <w:tc>
          <w:tcPr>
            <w:tcW w:w="5877" w:type="dxa"/>
            <w:shd w:val="clear" w:color="000000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主次干道、商业大街、背街小巷、公共广场、公园、景区景点、公交车（地铁）、公交（地铁）车站、医院、社区（小区）、城乡接合部、交通场站（机场、火车站、长途汽车站、码头、汽车总站）及周边、城市商贸综合体和综合写字楼及周边、商场超市及周边、农贸（集贸、批发）市场及周边：</w:t>
            </w:r>
          </w:p>
          <w:p>
            <w:pPr>
              <w:widowControl/>
              <w:textAlignment w:val="center"/>
              <w:rPr>
                <w:rFonts w:ascii="Times New Roman" w:hAnsi="Times New Roman" w:eastAsia="楷体_GB2312"/>
              </w:rPr>
            </w:pPr>
            <w:r>
              <w:rPr>
                <w:rFonts w:hint="eastAsia" w:ascii="宋体" w:cs="宋体"/>
              </w:rPr>
              <w:t>①</w:t>
            </w:r>
            <w:r>
              <w:rPr>
                <w:rFonts w:ascii="Times New Roman" w:hAnsi="Times New Roman" w:eastAsia="楷体_GB2312"/>
              </w:rPr>
              <w:t>建（构）筑物及依附于建（构）筑物的玻璃幕墙、展板等安全牢固、完好无损；</w:t>
            </w:r>
          </w:p>
          <w:p>
            <w:pPr>
              <w:widowControl/>
              <w:textAlignment w:val="center"/>
              <w:rPr>
                <w:rFonts w:hint="eastAsia"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②户外广告设施和招牌设置牢固可靠。</w:t>
            </w:r>
          </w:p>
          <w:p>
            <w:pPr>
              <w:widowControl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/>
                <w:b w:val="0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="楷体_GB2312"/>
                <w:b w:val="0"/>
                <w:bCs/>
                <w:kern w:val="0"/>
                <w:szCs w:val="21"/>
              </w:rPr>
              <w:t>文广旅局、市场监管局、交通局、交通控股集团、卫健委、商务局、机场公司、火车站、城建控股集团、农发集团；各区、功能板块</w:t>
            </w:r>
            <w:r>
              <w:rPr>
                <w:rFonts w:hint="default" w:ascii="Times New Roman" w:hAnsi="Times New Roman" w:eastAsia="楷体_GB2312"/>
                <w:b w:val="0"/>
                <w:bCs/>
                <w:kern w:val="0"/>
                <w:szCs w:val="21"/>
              </w:rPr>
              <w:t>）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textAlignment w:val="auto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住建局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城管局</w:t>
            </w:r>
          </w:p>
        </w:tc>
        <w:tc>
          <w:tcPr>
            <w:tcW w:w="13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kern w:val="0"/>
                <w:szCs w:val="21"/>
              </w:rPr>
              <w:t>公用处、市政处、物业处、设计处、市市政公用事业发展中心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960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-28</w:t>
            </w:r>
          </w:p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群众支持参与</w:t>
            </w:r>
          </w:p>
        </w:tc>
        <w:tc>
          <w:tcPr>
            <w:tcW w:w="1134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Ⅲ-68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广泛宣传动员</w:t>
            </w:r>
          </w:p>
        </w:tc>
        <w:tc>
          <w:tcPr>
            <w:tcW w:w="3478" w:type="dxa"/>
            <w:shd w:val="clear" w:color="FFFFFF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各类媒体深入宣传阐释精神文明创建活动，城乡公共场所广泛宣传展示精神文明创建内容。</w:t>
            </w:r>
          </w:p>
        </w:tc>
        <w:tc>
          <w:tcPr>
            <w:tcW w:w="5877" w:type="dxa"/>
            <w:shd w:val="clear" w:color="000000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社区、公共广场、主次干道、商业大街：</w:t>
            </w:r>
          </w:p>
          <w:p>
            <w:pPr>
              <w:widowControl/>
              <w:textAlignment w:val="center"/>
              <w:rPr>
                <w:rFonts w:hint="eastAsia"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运用多种形式宣传展示精神文明创建内容。</w:t>
            </w:r>
          </w:p>
          <w:p>
            <w:pPr>
              <w:widowControl/>
              <w:rPr>
                <w:b/>
                <w:kern w:val="0"/>
              </w:rPr>
            </w:pPr>
            <w:r>
              <w:rPr>
                <w:rFonts w:hint="default" w:ascii="Times New Roman" w:hAnsi="Times New Roman" w:eastAsia="楷体_GB2312"/>
                <w:b w:val="0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="楷体_GB2312"/>
                <w:b w:val="0"/>
                <w:bCs/>
                <w:kern w:val="0"/>
                <w:szCs w:val="21"/>
              </w:rPr>
              <w:t>住建局、城管局；各区、功能板块</w:t>
            </w:r>
            <w:r>
              <w:rPr>
                <w:rFonts w:hint="default" w:ascii="Times New Roman" w:hAnsi="Times New Roman" w:eastAsia="楷体_GB2312"/>
                <w:b w:val="0"/>
                <w:bCs/>
                <w:kern w:val="0"/>
                <w:szCs w:val="21"/>
              </w:rPr>
              <w:t>）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textAlignment w:val="auto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宣传部</w:t>
            </w:r>
          </w:p>
        </w:tc>
        <w:tc>
          <w:tcPr>
            <w:tcW w:w="13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kern w:val="0"/>
                <w:szCs w:val="21"/>
              </w:rPr>
              <w:t>物业处、园林处、苍梧绿园</w:t>
            </w:r>
          </w:p>
        </w:tc>
      </w:tr>
    </w:tbl>
    <w:p/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三、调查问卷部分</w:t>
      </w:r>
    </w:p>
    <w:tbl>
      <w:tblPr>
        <w:tblStyle w:val="7"/>
        <w:tblpPr w:leftFromText="180" w:rightFromText="180" w:vertAnchor="text" w:horzAnchor="page" w:tblpX="1516" w:tblpY="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524"/>
        <w:gridCol w:w="5445"/>
        <w:gridCol w:w="1701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397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指标名称</w:t>
            </w:r>
          </w:p>
        </w:tc>
        <w:tc>
          <w:tcPr>
            <w:tcW w:w="2524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测评内容</w:t>
            </w:r>
          </w:p>
        </w:tc>
        <w:tc>
          <w:tcPr>
            <w:tcW w:w="544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本地群众评价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责任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单位</w:t>
            </w: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局责任处室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2397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Ⅱ-20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城市市容市貌</w:t>
            </w:r>
          </w:p>
        </w:tc>
        <w:tc>
          <w:tcPr>
            <w:tcW w:w="2524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Ⅲ-52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加强社区治理</w:t>
            </w:r>
          </w:p>
        </w:tc>
        <w:tc>
          <w:tcPr>
            <w:tcW w:w="5445" w:type="dxa"/>
            <w:noWrap/>
            <w:vAlign w:val="center"/>
          </w:tcPr>
          <w:p>
            <w:pPr>
              <w:widowControl/>
              <w:snapToGrid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①对社区服务群众效果的评价；</w:t>
            </w:r>
          </w:p>
          <w:p>
            <w:pPr>
              <w:widowControl/>
              <w:snapToGrid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②对社区15分钟便民生活圈的评</w:t>
            </w:r>
            <w:r>
              <w:rPr>
                <w:rFonts w:ascii="Times New Roman" w:hAnsi="Times New Roman"/>
                <w:kern w:val="0"/>
                <w:szCs w:val="21"/>
              </w:rPr>
              <w:t>价。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民政局、住建局、文广旅局、体育局、卫健委，工信局、通管办、水电气热通信服务单位；各区</w:t>
            </w:r>
            <w:r>
              <w:rPr>
                <w:rFonts w:ascii="Times New Roman" w:hAnsi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功能板块</w:t>
            </w: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kern w:val="0"/>
                <w:szCs w:val="21"/>
              </w:rPr>
              <w:t>物业处、公用处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600" w:lineRule="exact"/>
        <w:ind w:firstLine="0" w:firstLineChars="0"/>
        <w:rPr>
          <w:szCs w:val="21"/>
        </w:rPr>
      </w:pPr>
      <w:r>
        <w:rPr>
          <w:rFonts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-13439775</wp:posOffset>
                </wp:positionV>
                <wp:extent cx="5572125" cy="635"/>
                <wp:effectExtent l="0" t="0" r="0" b="0"/>
                <wp:wrapNone/>
                <wp:docPr id="2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.25pt;margin-top:-1058.25pt;height:0.05pt;width:438.75pt;z-index:251660288;mso-width-relative:page;mso-height-relative:page;" filled="f" stroked="t" coordsize="21600,21600" o:gfxdata="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SbG3dkAAAANAQAADwAAAAAAAAABACAAAAAiAAAAZHJzL2Rvd25yZXYueG1sUEsBAhQAFAAA&#10;AAgAh07iQIkIT0fuAQAA7AMAAA4AAAAAAAAAAQAgAAAAK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6" w:type="default"/>
      <w:footerReference r:id="rId7" w:type="default"/>
      <w:footerReference r:id="rId8" w:type="even"/>
      <w:pgSz w:w="16838" w:h="11906" w:orient="landscape"/>
      <w:pgMar w:top="1587" w:right="2098" w:bottom="1474" w:left="1985" w:header="851" w:footer="992" w:gutter="0"/>
      <w:pgNumType w:fmt="numberInDash"/>
      <w:cols w:space="0" w:num="1"/>
      <w:rtlGutter w:val="0"/>
      <w:docGrid w:type="linesAndChars" w:linePitch="48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84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SJnjx9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Y9d8R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AB0EC"/>
    <w:multiLevelType w:val="singleLevel"/>
    <w:tmpl w:val="22AAB0EC"/>
    <w:lvl w:ilvl="0" w:tentative="0">
      <w:start w:val="2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">
    <w:nsid w:val="338526B7"/>
    <w:multiLevelType w:val="multilevel"/>
    <w:tmpl w:val="338526B7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201"/>
  <w:drawingGridVerticalSpacing w:val="481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TUzNTAzNjQyMmE1YWY0ZDZjZGI0MWQ1NzAwNTkifQ=="/>
  </w:docVars>
  <w:rsids>
    <w:rsidRoot w:val="00291195"/>
    <w:rsid w:val="0000605A"/>
    <w:rsid w:val="00011173"/>
    <w:rsid w:val="00013CA3"/>
    <w:rsid w:val="00016461"/>
    <w:rsid w:val="000312D8"/>
    <w:rsid w:val="00072450"/>
    <w:rsid w:val="00073A33"/>
    <w:rsid w:val="00074698"/>
    <w:rsid w:val="00074A50"/>
    <w:rsid w:val="00080486"/>
    <w:rsid w:val="000853BC"/>
    <w:rsid w:val="000A0AE1"/>
    <w:rsid w:val="000A60AA"/>
    <w:rsid w:val="000B3DE1"/>
    <w:rsid w:val="000C5AEA"/>
    <w:rsid w:val="000D2173"/>
    <w:rsid w:val="000D5797"/>
    <w:rsid w:val="001072CD"/>
    <w:rsid w:val="00107D6E"/>
    <w:rsid w:val="00142D14"/>
    <w:rsid w:val="00145712"/>
    <w:rsid w:val="00146E58"/>
    <w:rsid w:val="00165C71"/>
    <w:rsid w:val="001B1A6D"/>
    <w:rsid w:val="001B4897"/>
    <w:rsid w:val="001B5DA3"/>
    <w:rsid w:val="001C19EA"/>
    <w:rsid w:val="001D14E7"/>
    <w:rsid w:val="001D60BA"/>
    <w:rsid w:val="001E13F8"/>
    <w:rsid w:val="001E2498"/>
    <w:rsid w:val="00200A7C"/>
    <w:rsid w:val="00200C11"/>
    <w:rsid w:val="00224BD0"/>
    <w:rsid w:val="00236ED8"/>
    <w:rsid w:val="0025441D"/>
    <w:rsid w:val="00257210"/>
    <w:rsid w:val="00257D0A"/>
    <w:rsid w:val="00263C85"/>
    <w:rsid w:val="002641F8"/>
    <w:rsid w:val="002875FA"/>
    <w:rsid w:val="00291195"/>
    <w:rsid w:val="002A6DDE"/>
    <w:rsid w:val="002B0217"/>
    <w:rsid w:val="002B3237"/>
    <w:rsid w:val="002C09F4"/>
    <w:rsid w:val="002C7B5C"/>
    <w:rsid w:val="00312EB5"/>
    <w:rsid w:val="0034580A"/>
    <w:rsid w:val="0034660A"/>
    <w:rsid w:val="003475D5"/>
    <w:rsid w:val="00355FC6"/>
    <w:rsid w:val="0035637F"/>
    <w:rsid w:val="0037083C"/>
    <w:rsid w:val="003A6186"/>
    <w:rsid w:val="003D6FDF"/>
    <w:rsid w:val="0040228A"/>
    <w:rsid w:val="004129FE"/>
    <w:rsid w:val="00433220"/>
    <w:rsid w:val="0044383F"/>
    <w:rsid w:val="00443FAD"/>
    <w:rsid w:val="004636AC"/>
    <w:rsid w:val="00476047"/>
    <w:rsid w:val="00490C67"/>
    <w:rsid w:val="004C4BA7"/>
    <w:rsid w:val="004E7AA6"/>
    <w:rsid w:val="004F122F"/>
    <w:rsid w:val="004F4D68"/>
    <w:rsid w:val="0050785E"/>
    <w:rsid w:val="005103D7"/>
    <w:rsid w:val="00515847"/>
    <w:rsid w:val="00520560"/>
    <w:rsid w:val="005261F1"/>
    <w:rsid w:val="005349DF"/>
    <w:rsid w:val="00544F72"/>
    <w:rsid w:val="00550567"/>
    <w:rsid w:val="00577796"/>
    <w:rsid w:val="00581114"/>
    <w:rsid w:val="0058314D"/>
    <w:rsid w:val="0058465D"/>
    <w:rsid w:val="00586BD8"/>
    <w:rsid w:val="005900F7"/>
    <w:rsid w:val="005A1F6E"/>
    <w:rsid w:val="005B7DB5"/>
    <w:rsid w:val="005C58FB"/>
    <w:rsid w:val="005D51C2"/>
    <w:rsid w:val="005F7E37"/>
    <w:rsid w:val="0061567B"/>
    <w:rsid w:val="00631274"/>
    <w:rsid w:val="00641602"/>
    <w:rsid w:val="00642810"/>
    <w:rsid w:val="006654FE"/>
    <w:rsid w:val="006711A0"/>
    <w:rsid w:val="00677DC0"/>
    <w:rsid w:val="0068621D"/>
    <w:rsid w:val="006A4A9E"/>
    <w:rsid w:val="006A4B50"/>
    <w:rsid w:val="006A5E59"/>
    <w:rsid w:val="006B4A00"/>
    <w:rsid w:val="006D2E86"/>
    <w:rsid w:val="006D5E4A"/>
    <w:rsid w:val="006E3400"/>
    <w:rsid w:val="006E636D"/>
    <w:rsid w:val="006F38B1"/>
    <w:rsid w:val="0072313F"/>
    <w:rsid w:val="00743E62"/>
    <w:rsid w:val="00744C4A"/>
    <w:rsid w:val="0074729F"/>
    <w:rsid w:val="00754BBD"/>
    <w:rsid w:val="00767FA1"/>
    <w:rsid w:val="00782F05"/>
    <w:rsid w:val="00791F54"/>
    <w:rsid w:val="00797C21"/>
    <w:rsid w:val="007B4F5A"/>
    <w:rsid w:val="007C50E9"/>
    <w:rsid w:val="007D6735"/>
    <w:rsid w:val="007E6B68"/>
    <w:rsid w:val="00800993"/>
    <w:rsid w:val="0080211E"/>
    <w:rsid w:val="00811513"/>
    <w:rsid w:val="00830101"/>
    <w:rsid w:val="00836C33"/>
    <w:rsid w:val="00861597"/>
    <w:rsid w:val="008623E2"/>
    <w:rsid w:val="00884B2D"/>
    <w:rsid w:val="008858E7"/>
    <w:rsid w:val="008901FB"/>
    <w:rsid w:val="008A6A09"/>
    <w:rsid w:val="008A7876"/>
    <w:rsid w:val="008D3D99"/>
    <w:rsid w:val="008D5871"/>
    <w:rsid w:val="008F11AC"/>
    <w:rsid w:val="0091089A"/>
    <w:rsid w:val="00912F51"/>
    <w:rsid w:val="009156C8"/>
    <w:rsid w:val="00924747"/>
    <w:rsid w:val="00944CEC"/>
    <w:rsid w:val="009450A7"/>
    <w:rsid w:val="009477D3"/>
    <w:rsid w:val="00950040"/>
    <w:rsid w:val="00950883"/>
    <w:rsid w:val="00954D08"/>
    <w:rsid w:val="0096349F"/>
    <w:rsid w:val="00975402"/>
    <w:rsid w:val="00976043"/>
    <w:rsid w:val="00985843"/>
    <w:rsid w:val="009900CF"/>
    <w:rsid w:val="00991D51"/>
    <w:rsid w:val="009A5DD2"/>
    <w:rsid w:val="009B5357"/>
    <w:rsid w:val="009C2F26"/>
    <w:rsid w:val="009D3615"/>
    <w:rsid w:val="009D5B34"/>
    <w:rsid w:val="009E7B6D"/>
    <w:rsid w:val="009F755D"/>
    <w:rsid w:val="00A12007"/>
    <w:rsid w:val="00A14B3C"/>
    <w:rsid w:val="00A21CB5"/>
    <w:rsid w:val="00A24EB4"/>
    <w:rsid w:val="00A333D0"/>
    <w:rsid w:val="00A4533F"/>
    <w:rsid w:val="00AA154F"/>
    <w:rsid w:val="00AC109D"/>
    <w:rsid w:val="00AC39CA"/>
    <w:rsid w:val="00AD178E"/>
    <w:rsid w:val="00AD63F2"/>
    <w:rsid w:val="00AE17AE"/>
    <w:rsid w:val="00AF1F84"/>
    <w:rsid w:val="00AF4FB6"/>
    <w:rsid w:val="00B0717B"/>
    <w:rsid w:val="00B11463"/>
    <w:rsid w:val="00B22480"/>
    <w:rsid w:val="00B32FA7"/>
    <w:rsid w:val="00B521F6"/>
    <w:rsid w:val="00B55BEB"/>
    <w:rsid w:val="00B81E20"/>
    <w:rsid w:val="00B92761"/>
    <w:rsid w:val="00BB7783"/>
    <w:rsid w:val="00BC7EFB"/>
    <w:rsid w:val="00BE058A"/>
    <w:rsid w:val="00BF78F5"/>
    <w:rsid w:val="00C16702"/>
    <w:rsid w:val="00C22E38"/>
    <w:rsid w:val="00C31C9B"/>
    <w:rsid w:val="00C34013"/>
    <w:rsid w:val="00C51465"/>
    <w:rsid w:val="00C841EF"/>
    <w:rsid w:val="00C85530"/>
    <w:rsid w:val="00C8568B"/>
    <w:rsid w:val="00C91BEE"/>
    <w:rsid w:val="00C92CCD"/>
    <w:rsid w:val="00C93AC4"/>
    <w:rsid w:val="00CA7F51"/>
    <w:rsid w:val="00CB0E81"/>
    <w:rsid w:val="00CB5A9E"/>
    <w:rsid w:val="00CC0C12"/>
    <w:rsid w:val="00CF346B"/>
    <w:rsid w:val="00D21294"/>
    <w:rsid w:val="00D21B76"/>
    <w:rsid w:val="00D3276F"/>
    <w:rsid w:val="00D417CF"/>
    <w:rsid w:val="00D612D0"/>
    <w:rsid w:val="00D72911"/>
    <w:rsid w:val="00D951AB"/>
    <w:rsid w:val="00DB7FCC"/>
    <w:rsid w:val="00DC156C"/>
    <w:rsid w:val="00DD5015"/>
    <w:rsid w:val="00E0333A"/>
    <w:rsid w:val="00E16507"/>
    <w:rsid w:val="00E333B2"/>
    <w:rsid w:val="00E47AF2"/>
    <w:rsid w:val="00E51949"/>
    <w:rsid w:val="00E5619F"/>
    <w:rsid w:val="00E5791C"/>
    <w:rsid w:val="00E61E03"/>
    <w:rsid w:val="00E642B4"/>
    <w:rsid w:val="00EA5205"/>
    <w:rsid w:val="00EC21F5"/>
    <w:rsid w:val="00EC3FD3"/>
    <w:rsid w:val="00ED622C"/>
    <w:rsid w:val="00ED6F86"/>
    <w:rsid w:val="00EE0E2C"/>
    <w:rsid w:val="00EE1969"/>
    <w:rsid w:val="00EF6CDF"/>
    <w:rsid w:val="00F10243"/>
    <w:rsid w:val="00F111FA"/>
    <w:rsid w:val="00F25331"/>
    <w:rsid w:val="00F32489"/>
    <w:rsid w:val="00F53550"/>
    <w:rsid w:val="00F55D43"/>
    <w:rsid w:val="00F63DC0"/>
    <w:rsid w:val="00F65FF8"/>
    <w:rsid w:val="00F729EC"/>
    <w:rsid w:val="00F85144"/>
    <w:rsid w:val="00FA3444"/>
    <w:rsid w:val="00FB6E37"/>
    <w:rsid w:val="00FC0999"/>
    <w:rsid w:val="00FC57C1"/>
    <w:rsid w:val="00FD4164"/>
    <w:rsid w:val="00FF5FC9"/>
    <w:rsid w:val="0BC4703F"/>
    <w:rsid w:val="131C0DB5"/>
    <w:rsid w:val="1C8D4426"/>
    <w:rsid w:val="1E370D17"/>
    <w:rsid w:val="1F3A7B4B"/>
    <w:rsid w:val="23D03F41"/>
    <w:rsid w:val="23F30A91"/>
    <w:rsid w:val="24D260D1"/>
    <w:rsid w:val="25102021"/>
    <w:rsid w:val="2AEE3492"/>
    <w:rsid w:val="2DA02EE8"/>
    <w:rsid w:val="2DE524A9"/>
    <w:rsid w:val="37DD6C7B"/>
    <w:rsid w:val="3E0C3CBB"/>
    <w:rsid w:val="3EC8733F"/>
    <w:rsid w:val="3FD64761"/>
    <w:rsid w:val="45D25817"/>
    <w:rsid w:val="4BB73C10"/>
    <w:rsid w:val="544B6F9E"/>
    <w:rsid w:val="5D964B36"/>
    <w:rsid w:val="5E4B16D0"/>
    <w:rsid w:val="5EC24654"/>
    <w:rsid w:val="64B940F2"/>
    <w:rsid w:val="69BD2791"/>
    <w:rsid w:val="6C6850DC"/>
    <w:rsid w:val="70CD5179"/>
    <w:rsid w:val="71050234"/>
    <w:rsid w:val="7285772D"/>
    <w:rsid w:val="75AA434F"/>
    <w:rsid w:val="775E5B74"/>
    <w:rsid w:val="77C02A00"/>
    <w:rsid w:val="785D7242"/>
    <w:rsid w:val="7894110B"/>
    <w:rsid w:val="7B1B39CF"/>
    <w:rsid w:val="7E393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00"/>
    </w:pPr>
    <w:rPr>
      <w:rFonts w:ascii="黑体" w:eastAsia="黑体"/>
      <w:sz w:val="36"/>
      <w:szCs w:val="32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微软雅黑" w:cs="方正小标宋_GBK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4">
    <w:name w:val="font01"/>
    <w:qFormat/>
    <w:uiPriority w:val="0"/>
    <w:rPr>
      <w:rFonts w:ascii="宋体" w:eastAsia="宋体"/>
      <w:color w:val="000000"/>
      <w:sz w:val="20"/>
      <w:u w:val="none"/>
    </w:rPr>
  </w:style>
  <w:style w:type="character" w:customStyle="1" w:styleId="15">
    <w:name w:val="font61"/>
    <w:qFormat/>
    <w:uiPriority w:val="0"/>
    <w:rPr>
      <w:rFonts w:ascii="楷体_GB2312" w:eastAsia="楷体_GB2312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481C55-1723-4EDF-98E3-6DE7A1F06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5364</Words>
  <Characters>5494</Characters>
  <Lines>2</Lines>
  <Paragraphs>1</Paragraphs>
  <TotalTime>2</TotalTime>
  <ScaleCrop>false</ScaleCrop>
  <LinksUpToDate>false</LinksUpToDate>
  <CharactersWithSpaces>5531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2019-09-16T03:32:00Z</dcterms:created>
  <dc:creator>Billgates</dc:creator>
  <cp:lastModifiedBy>Administrator</cp:lastModifiedBy>
  <cp:lastPrinted>2022-06-17T09:37:40Z</cp:lastPrinted>
  <dcterms:modified xsi:type="dcterms:W3CDTF">2022-06-17T09:38:36Z</dcterms:modified>
  <dc:title>徐州市财政局文件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409853067_btnclosed</vt:lpwstr>
  </property>
  <property fmtid="{D5CDD505-2E9C-101B-9397-08002B2CF9AE}" pid="4" name="ICV">
    <vt:lpwstr>C216B5DFB96E455EBADA0E1B916E5008</vt:lpwstr>
  </property>
</Properties>
</file>