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tabs>
          <w:tab w:val="left" w:pos="10190"/>
        </w:tabs>
        <w:snapToGrid w:val="0"/>
        <w:spacing w:beforeLines="10" w:line="560" w:lineRule="exact"/>
        <w:ind w:firstLine="305" w:firstLineChars="98"/>
        <w:jc w:val="center"/>
        <w:rPr>
          <w:rFonts w:ascii="Times New Roman" w:hAnsi="Times New Roman" w:eastAsia="仿宋_GB2312"/>
          <w:sz w:val="32"/>
          <w:szCs w:val="32"/>
        </w:rPr>
      </w:pPr>
      <w:bookmarkStart w:id="0" w:name="文号"/>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r>
        <w:rPr>
          <w:rFonts w:hint="eastAsia" w:ascii="Times New Roman" w:hAnsi="Times New Roman" w:eastAsia="仿宋_GB2312"/>
          <w:sz w:val="32"/>
          <w:szCs w:val="32"/>
        </w:rPr>
        <w:t>连建管〔202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napToGrid w:val="0"/>
        <w:spacing w:line="560" w:lineRule="exact"/>
        <w:jc w:val="center"/>
        <w:rPr>
          <w:rFonts w:ascii="方正小标宋简体" w:eastAsia="方正小标宋简体"/>
          <w:sz w:val="44"/>
          <w:szCs w:val="44"/>
        </w:rPr>
      </w:pPr>
      <w:bookmarkStart w:id="1" w:name="附件"/>
      <w:bookmarkEnd w:id="1"/>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连云港市住房和城乡建设局</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关于2023年度上半年全市建筑工程领域</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农民工工资支付责任履行不到位的企业和管理人员到岗履职情况限期整改的通知</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各县区（功能板块）住建局（清欠办），各有关单位：</w:t>
      </w:r>
    </w:p>
    <w:p>
      <w:pPr>
        <w:keepNext w:val="0"/>
        <w:keepLines w:val="0"/>
        <w:pageBreakBefore w:val="0"/>
        <w:widowControl w:val="0"/>
        <w:kinsoku/>
        <w:wordWrap/>
        <w:overflowPunct/>
        <w:topLinePunct w:val="0"/>
        <w:autoSpaceDE/>
        <w:autoSpaceDN/>
        <w:bidi w:val="0"/>
        <w:adjustRightInd/>
        <w:snapToGrid/>
        <w:spacing w:line="560" w:lineRule="exact"/>
        <w:ind w:left="0" w:firstLine="622" w:firstLineChars="200"/>
        <w:textAlignment w:val="auto"/>
        <w:rPr>
          <w:rFonts w:hint="default" w:ascii="Times New Roman" w:hAnsi="Times New Roman" w:eastAsia="仿宋_GB2312" w:cs="Times New Roman"/>
          <w:color w:val="525353"/>
          <w:sz w:val="32"/>
          <w:szCs w:val="32"/>
          <w:shd w:val="clear" w:color="auto" w:fill="FFFFFF"/>
        </w:rPr>
      </w:pPr>
      <w:r>
        <w:rPr>
          <w:rFonts w:hint="default" w:ascii="Times New Roman" w:hAnsi="Times New Roman" w:eastAsia="仿宋_GB2312" w:cs="Times New Roman"/>
          <w:color w:val="000000"/>
          <w:kern w:val="0"/>
          <w:sz w:val="32"/>
          <w:szCs w:val="32"/>
        </w:rPr>
        <w:t>2023年在市委、市政府的正确领导下，在市级相关部门的大力支持下，市县两级认真贯彻落实《保障农民工工资支付条例》（以下简称</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条例</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有力维护了建设各方责任主体和农民工的合法权益。</w:t>
      </w:r>
      <w:r>
        <w:rPr>
          <w:rFonts w:hint="default" w:ascii="Times New Roman" w:hAnsi="Times New Roman" w:eastAsia="仿宋_GB2312" w:cs="Times New Roman"/>
          <w:color w:val="000000"/>
          <w:sz w:val="32"/>
          <w:szCs w:val="32"/>
          <w:lang w:val="en-US" w:eastAsia="zh-CN"/>
        </w:rPr>
        <w:t>但</w:t>
      </w:r>
      <w:r>
        <w:rPr>
          <w:rFonts w:hint="default" w:ascii="Times New Roman" w:hAnsi="Times New Roman" w:eastAsia="仿宋_GB2312" w:cs="Times New Roman"/>
          <w:color w:val="000000"/>
          <w:sz w:val="32"/>
          <w:szCs w:val="32"/>
        </w:rPr>
        <w:t>通过</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江苏省建筑工人管理服务信息平台（连云港）</w:t>
      </w:r>
      <w:r>
        <w:rPr>
          <w:rFonts w:hint="default" w:ascii="Times New Roman" w:hAnsi="Times New Roman" w:eastAsia="仿宋_GB2312" w:cs="Times New Roman"/>
          <w:color w:val="000000"/>
          <w:sz w:val="32"/>
          <w:szCs w:val="32"/>
          <w:lang w:val="en-US" w:eastAsia="zh-CN"/>
        </w:rPr>
        <w:t>数据监测发现，</w:t>
      </w:r>
      <w:r>
        <w:rPr>
          <w:rFonts w:hint="default" w:ascii="Times New Roman" w:hAnsi="Times New Roman" w:eastAsia="仿宋_GB2312" w:cs="Times New Roman"/>
          <w:color w:val="000000"/>
          <w:sz w:val="32"/>
          <w:szCs w:val="32"/>
        </w:rPr>
        <w:t>部分项目存在未按时按月足额通过农民工工资专用账户发放工人工资问题，存在欠薪隐患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同时还发现部分项目存在</w:t>
      </w:r>
      <w:r>
        <w:rPr>
          <w:rFonts w:hint="default" w:ascii="Times New Roman" w:hAnsi="Times New Roman" w:eastAsia="仿宋_GB2312" w:cs="Times New Roman"/>
          <w:sz w:val="32"/>
          <w:szCs w:val="32"/>
        </w:rPr>
        <w:t>施工现场管理人员未到岗履职</w:t>
      </w:r>
      <w:r>
        <w:rPr>
          <w:rFonts w:hint="default" w:ascii="Times New Roman" w:hAnsi="Times New Roman" w:eastAsia="仿宋_GB2312" w:cs="Times New Roman"/>
          <w:color w:val="000000"/>
          <w:kern w:val="0"/>
          <w:sz w:val="32"/>
          <w:szCs w:val="32"/>
          <w:lang w:val="en-US" w:eastAsia="zh-CN"/>
        </w:rPr>
        <w:t>现象</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color w:val="000000"/>
          <w:sz w:val="32"/>
          <w:szCs w:val="32"/>
        </w:rPr>
        <w:t>规范农民工工资支付行为，</w:t>
      </w:r>
      <w:r>
        <w:rPr>
          <w:rFonts w:hint="default" w:ascii="Times New Roman" w:hAnsi="Times New Roman" w:eastAsia="仿宋_GB2312" w:cs="Times New Roman"/>
          <w:sz w:val="32"/>
          <w:szCs w:val="32"/>
        </w:rPr>
        <w:t>落实项目管理人员安全生产职责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根据《条例》</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《关于加强项目管理人员到岗履职监管的通知》（连建管〔2020〕489号）</w:t>
      </w:r>
      <w:r>
        <w:rPr>
          <w:rFonts w:hint="default" w:ascii="Times New Roman" w:hAnsi="Times New Roman" w:eastAsia="仿宋_GB2312" w:cs="Times New Roman"/>
          <w:color w:val="000000"/>
          <w:sz w:val="32"/>
          <w:szCs w:val="32"/>
          <w:lang w:val="en-US" w:eastAsia="zh-CN"/>
        </w:rPr>
        <w:t>规定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32"/>
          <w:szCs w:val="32"/>
        </w:rPr>
        <w:t>对</w:t>
      </w:r>
      <w:r>
        <w:rPr>
          <w:rFonts w:hint="default" w:ascii="Times New Roman" w:hAnsi="Times New Roman" w:eastAsia="仿宋_GB2312" w:cs="Times New Roman"/>
          <w:sz w:val="32"/>
          <w:szCs w:val="32"/>
        </w:rPr>
        <w:t>存在</w:t>
      </w:r>
      <w:r>
        <w:rPr>
          <w:rFonts w:hint="default" w:ascii="Times New Roman" w:hAnsi="Times New Roman" w:eastAsia="仿宋_GB2312" w:cs="Times New Roman"/>
          <w:sz w:val="32"/>
          <w:szCs w:val="32"/>
          <w:lang w:val="en-US" w:eastAsia="zh-CN"/>
        </w:rPr>
        <w:t>上述</w:t>
      </w:r>
      <w:r>
        <w:rPr>
          <w:rFonts w:hint="default" w:ascii="Times New Roman" w:hAnsi="Times New Roman" w:eastAsia="仿宋_GB2312" w:cs="Times New Roman"/>
          <w:sz w:val="32"/>
          <w:szCs w:val="32"/>
        </w:rPr>
        <w:t>问题的企业，要求</w:t>
      </w:r>
      <w:r>
        <w:rPr>
          <w:rFonts w:hint="default" w:ascii="Times New Roman" w:hAnsi="Times New Roman" w:eastAsia="仿宋_GB2312" w:cs="Times New Roman"/>
          <w:sz w:val="32"/>
          <w:szCs w:val="32"/>
          <w:lang w:val="en-US" w:eastAsia="zh-CN"/>
        </w:rPr>
        <w:t>相关单位、个人</w:t>
      </w:r>
      <w:r>
        <w:rPr>
          <w:rFonts w:hint="default" w:ascii="Times New Roman" w:hAnsi="Times New Roman" w:eastAsia="仿宋_GB2312" w:cs="Times New Roman"/>
          <w:sz w:val="32"/>
          <w:szCs w:val="32"/>
        </w:rPr>
        <w:t>限期整改。</w:t>
      </w:r>
    </w:p>
    <w:p>
      <w:pPr>
        <w:keepNext w:val="0"/>
        <w:keepLines w:val="0"/>
        <w:pageBreakBefore w:val="0"/>
        <w:widowControl w:val="0"/>
        <w:kinsoku/>
        <w:wordWrap/>
        <w:overflowPunct/>
        <w:topLinePunct w:val="0"/>
        <w:autoSpaceDE/>
        <w:autoSpaceDN/>
        <w:bidi w:val="0"/>
        <w:adjustRightInd/>
        <w:snapToGrid/>
        <w:spacing w:line="560" w:lineRule="exact"/>
        <w:ind w:left="0" w:firstLine="62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各项目所在地行业主管部门负责告知存在问题需整改的企业，针对存在的问题，要求</w:t>
      </w:r>
      <w:r>
        <w:rPr>
          <w:rFonts w:hint="default" w:ascii="Times New Roman" w:hAnsi="Times New Roman" w:eastAsia="仿宋_GB2312" w:cs="Times New Roman"/>
          <w:color w:val="000000"/>
          <w:kern w:val="0"/>
          <w:sz w:val="32"/>
          <w:szCs w:val="32"/>
          <w:lang w:val="en-US" w:eastAsia="zh-CN"/>
        </w:rPr>
        <w:t>相关单位、个人</w:t>
      </w:r>
      <w:r>
        <w:rPr>
          <w:rFonts w:hint="default" w:ascii="Times New Roman" w:hAnsi="Times New Roman" w:eastAsia="仿宋_GB2312" w:cs="Times New Roman"/>
          <w:color w:val="000000"/>
          <w:kern w:val="0"/>
          <w:sz w:val="32"/>
          <w:szCs w:val="32"/>
        </w:rPr>
        <w:t>于2023年7月20日前整改到位，并将整改情况以书面形式向工程项目所在地行业主管部门报告。未在规定时限内完成整改的，由行业主管部门约谈相关负责人，依据《条例》</w:t>
      </w:r>
      <w:r>
        <w:rPr>
          <w:rFonts w:hint="default" w:ascii="Times New Roman" w:hAnsi="Times New Roman" w:eastAsia="仿宋_GB2312" w:cs="Times New Roman"/>
          <w:color w:val="000000"/>
          <w:kern w:val="0"/>
          <w:sz w:val="32"/>
          <w:szCs w:val="32"/>
          <w:lang w:val="en-US" w:eastAsia="zh-CN"/>
        </w:rPr>
        <w:t>规定</w:t>
      </w:r>
      <w:r>
        <w:rPr>
          <w:rFonts w:hint="default" w:ascii="Times New Roman" w:hAnsi="Times New Roman" w:eastAsia="仿宋_GB2312" w:cs="Times New Roman"/>
          <w:color w:val="000000"/>
          <w:kern w:val="0"/>
          <w:sz w:val="32"/>
          <w:szCs w:val="32"/>
        </w:rPr>
        <w:t>进行处理。市住房和城乡建设局将适时对以上各企业和责任人整改情况进行督促检查并将整改情况对外公布。对于拒不整改的企业，将依法依规</w:t>
      </w:r>
      <w:r>
        <w:rPr>
          <w:rFonts w:hint="default" w:ascii="Times New Roman" w:hAnsi="Times New Roman" w:eastAsia="仿宋_GB2312" w:cs="Times New Roman"/>
          <w:color w:val="000000"/>
          <w:kern w:val="0"/>
          <w:sz w:val="32"/>
          <w:szCs w:val="32"/>
          <w:lang w:val="en-US" w:eastAsia="zh-CN"/>
        </w:rPr>
        <w:t>进行</w:t>
      </w:r>
      <w:r>
        <w:rPr>
          <w:rFonts w:hint="default" w:ascii="Times New Roman" w:hAnsi="Times New Roman" w:eastAsia="仿宋_GB2312" w:cs="Times New Roman"/>
          <w:color w:val="000000"/>
          <w:kern w:val="0"/>
          <w:sz w:val="32"/>
          <w:szCs w:val="32"/>
        </w:rPr>
        <w:t>查处。各建设单位、施工企业和分包单位要引以为戒，确保项目部管理人员到岗履职，保证安全生产</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同时，依据</w:t>
      </w:r>
      <w:r>
        <w:rPr>
          <w:rFonts w:hint="default" w:ascii="Times New Roman" w:hAnsi="Times New Roman" w:eastAsia="仿宋_GB2312" w:cs="Times New Roman"/>
          <w:color w:val="000000"/>
          <w:kern w:val="0"/>
          <w:sz w:val="32"/>
          <w:szCs w:val="32"/>
        </w:rPr>
        <w:t>《条例》规定，全面落实各项农民工工资支付制度，排查工程项目欠薪隐患，及时解决拖欠农民工工资问题，维护农民工合法权益。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left="0" w:hanging="933" w:hangingChars="300"/>
        <w:textAlignment w:val="auto"/>
        <w:rPr>
          <w:rFonts w:hint="default" w:ascii="Times New Roman" w:hAnsi="Times New Roman" w:eastAsia="仿宋_GB2312" w:cs="Times New Roman"/>
          <w:color w:val="52535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1544" w:leftChars="304" w:hanging="933" w:hangingChars="300"/>
        <w:textAlignment w:val="auto"/>
        <w:rPr>
          <w:rFonts w:hint="default" w:ascii="Times New Roman" w:hAnsi="Times New Roman" w:eastAsia="仿宋_GB2312" w:cs="Times New Roman"/>
          <w:color w:val="525353"/>
          <w:sz w:val="32"/>
          <w:szCs w:val="32"/>
          <w:shd w:val="clear" w:color="auto" w:fill="FFFFFF"/>
        </w:rPr>
      </w:pPr>
      <w:r>
        <w:rPr>
          <w:rFonts w:hint="default" w:ascii="Times New Roman" w:hAnsi="Times New Roman" w:eastAsia="仿宋_GB2312" w:cs="Times New Roman"/>
          <w:color w:val="000000"/>
          <w:kern w:val="0"/>
          <w:sz w:val="32"/>
          <w:szCs w:val="32"/>
        </w:rPr>
        <w:t>附件：农民工工资支付责任履行不到位的企业和管理人员到岗履职情况</w:t>
      </w:r>
    </w:p>
    <w:p>
      <w:pPr>
        <w:pStyle w:val="13"/>
        <w:snapToGrid w:val="0"/>
        <w:spacing w:before="0" w:after="0" w:afterAutospacing="0" w:line="560" w:lineRule="exact"/>
        <w:ind w:firstLine="0"/>
        <w:jc w:val="both"/>
        <w:rPr>
          <w:rFonts w:ascii="Times New Roman" w:hAnsi="Times New Roman" w:eastAsia="仿宋_GB2312" w:cs="Times New Roman"/>
          <w:color w:val="auto"/>
          <w:sz w:val="32"/>
          <w:szCs w:val="32"/>
        </w:rPr>
      </w:pPr>
    </w:p>
    <w:p>
      <w:pPr>
        <w:pStyle w:val="13"/>
        <w:snapToGrid w:val="0"/>
        <w:spacing w:before="0" w:after="0" w:afterAutospacing="0" w:line="560" w:lineRule="exact"/>
        <w:ind w:firstLine="4444" w:firstLineChars="1429"/>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连云港市住房和城乡建设局</w:t>
      </w:r>
    </w:p>
    <w:p>
      <w:pPr>
        <w:pStyle w:val="13"/>
        <w:ind w:firstLine="5054" w:firstLineChars="1625"/>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8</w:t>
      </w:r>
      <w:r>
        <w:rPr>
          <w:rFonts w:ascii="Times New Roman" w:hAnsi="Times New Roman" w:eastAsia="仿宋_GB2312" w:cs="Times New Roman"/>
          <w:color w:val="auto"/>
          <w:sz w:val="32"/>
          <w:szCs w:val="32"/>
        </w:rPr>
        <w:t>日</w:t>
      </w:r>
    </w:p>
    <w:p>
      <w:pPr>
        <w:pStyle w:val="13"/>
        <w:ind w:firstLine="5054" w:firstLineChars="1625"/>
        <w:rPr>
          <w:rFonts w:ascii="Times New Roman" w:hAnsi="Times New Roman" w:eastAsia="仿宋_GB2312" w:cs="Times New Roman"/>
          <w:color w:val="auto"/>
          <w:sz w:val="32"/>
          <w:szCs w:val="32"/>
        </w:rPr>
      </w:pPr>
    </w:p>
    <w:p>
      <w:pPr>
        <w:pBdr>
          <w:top w:val="single" w:color="auto" w:sz="4" w:space="1"/>
          <w:bottom w:val="single" w:color="auto" w:sz="4" w:space="1"/>
        </w:pBdr>
        <w:spacing w:line="560" w:lineRule="exact"/>
        <w:rPr>
          <w:rFonts w:ascii="Times New Roman" w:hAnsi="Times New Roman" w:eastAsia="仿宋_GB2312"/>
          <w:sz w:val="28"/>
          <w:szCs w:val="28"/>
        </w:rPr>
      </w:pPr>
      <w:r>
        <w:rPr>
          <w:rFonts w:ascii="Times New Roman" w:hAnsi="Times New Roman" w:eastAsia="仿宋_GB2312"/>
          <w:sz w:val="28"/>
          <w:szCs w:val="28"/>
        </w:rPr>
        <w:t xml:space="preserve"> 连云港市住房和城乡建设局办公室            202</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年1</w:t>
      </w: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月2</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 xml:space="preserve">日印发 </w:t>
      </w:r>
    </w:p>
    <w:p>
      <w:pPr>
        <w:pBdr>
          <w:top w:val="none" w:color="auto" w:sz="0" w:space="1"/>
          <w:left w:val="none" w:color="auto" w:sz="0" w:space="0"/>
          <w:bottom w:val="none" w:color="auto" w:sz="0" w:space="1"/>
          <w:right w:val="none" w:color="auto" w:sz="0" w:space="0"/>
          <w:between w:val="none" w:color="auto" w:sz="0" w:space="0"/>
        </w:pBdr>
        <w:spacing w:line="560" w:lineRule="exact"/>
        <w:rPr>
          <w:rFonts w:ascii="Times New Roman" w:hAnsi="Times New Roman" w:eastAsia="仿宋_GB2312"/>
          <w:sz w:val="28"/>
          <w:szCs w:val="28"/>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481" w:charSpace="-1844"/>
        </w:sectPr>
      </w:pPr>
    </w:p>
    <w:p>
      <w:pPr>
        <w:snapToGrid w:val="0"/>
        <w:ind w:left="720" w:hanging="933" w:hangingChars="300"/>
        <w:rPr>
          <w:rFonts w:ascii="黑体" w:eastAsia="黑体" w:cs="黑体"/>
          <w:color w:val="525353"/>
          <w:sz w:val="32"/>
          <w:szCs w:val="32"/>
          <w:shd w:val="clear" w:color="auto" w:fill="FFFFFF"/>
        </w:rPr>
      </w:pPr>
      <w:r>
        <w:rPr>
          <w:rFonts w:hint="eastAsia" w:ascii="黑体" w:eastAsia="黑体" w:cs="黑体"/>
          <w:color w:val="525353"/>
          <w:sz w:val="32"/>
          <w:szCs w:val="32"/>
          <w:shd w:val="clear" w:color="auto" w:fill="FFFFFF"/>
        </w:rPr>
        <w:t>附件</w:t>
      </w:r>
    </w:p>
    <w:p>
      <w:pPr>
        <w:snapToGrid w:val="0"/>
        <w:spacing w:line="560" w:lineRule="exact"/>
        <w:ind w:left="0" w:firstLine="0" w:firstLineChars="0"/>
        <w:jc w:val="center"/>
        <w:rPr>
          <w:rFonts w:hint="eastAsia" w:ascii="方正小标宋简体" w:eastAsia="方正小标宋简体" w:cs="黑体"/>
          <w:sz w:val="36"/>
          <w:szCs w:val="36"/>
          <w:shd w:val="clear" w:color="auto" w:fill="FFFFFF"/>
        </w:rPr>
      </w:pPr>
      <w:r>
        <w:rPr>
          <w:rFonts w:hint="eastAsia" w:ascii="方正小标宋简体" w:eastAsia="方正小标宋简体" w:cs="黑体"/>
          <w:sz w:val="36"/>
          <w:szCs w:val="36"/>
          <w:shd w:val="clear" w:color="auto" w:fill="FFFFFF"/>
        </w:rPr>
        <w:t>农民工工资支付责任履行不到位的企业和管理人员到岗履职情况</w:t>
      </w:r>
    </w:p>
    <w:p>
      <w:pPr>
        <w:snapToGrid w:val="0"/>
        <w:ind w:left="720" w:hanging="693" w:hangingChars="300"/>
        <w:rPr>
          <w:rFonts w:ascii="仿宋_GB2312" w:eastAsia="仿宋_GB2312" w:cs="仿宋_GB2312"/>
          <w:color w:val="525353"/>
          <w:sz w:val="24"/>
          <w:shd w:val="clear" w:color="auto" w:fill="FFFFFF"/>
        </w:rPr>
      </w:pPr>
    </w:p>
    <w:tbl>
      <w:tblPr>
        <w:tblStyle w:val="7"/>
        <w:tblW w:w="5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270"/>
        <w:gridCol w:w="3227"/>
        <w:gridCol w:w="3137"/>
        <w:gridCol w:w="356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属地</w:t>
            </w:r>
          </w:p>
        </w:tc>
        <w:tc>
          <w:tcPr>
            <w:tcW w:w="1082"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项目名称</w:t>
            </w:r>
          </w:p>
        </w:tc>
        <w:tc>
          <w:tcPr>
            <w:tcW w:w="1068"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建设单位</w:t>
            </w:r>
          </w:p>
        </w:tc>
        <w:tc>
          <w:tcPr>
            <w:tcW w:w="1038"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施工单位</w:t>
            </w:r>
          </w:p>
        </w:tc>
        <w:tc>
          <w:tcPr>
            <w:tcW w:w="1178"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存在问题</w:t>
            </w:r>
          </w:p>
        </w:tc>
        <w:tc>
          <w:tcPr>
            <w:tcW w:w="305" w:type="pct"/>
            <w:vAlign w:val="center"/>
          </w:tcPr>
          <w:p>
            <w:pPr>
              <w:spacing w:line="280" w:lineRule="exact"/>
              <w:jc w:val="center"/>
              <w:rPr>
                <w:rFonts w:hint="eastAsia" w:ascii="黑体" w:hAnsi="黑体" w:eastAsia="黑体" w:cs="黑体"/>
                <w:b w:val="0"/>
                <w:bCs w:val="0"/>
                <w:color w:val="auto"/>
                <w:sz w:val="24"/>
                <w:szCs w:val="24"/>
                <w:shd w:val="clear" w:color="auto" w:fill="FFFFFF"/>
              </w:rPr>
            </w:pPr>
            <w:r>
              <w:rPr>
                <w:rFonts w:hint="eastAsia" w:ascii="黑体" w:hAnsi="黑体" w:eastAsia="黑体" w:cs="黑体"/>
                <w:b w:val="0"/>
                <w:bCs w:val="0"/>
                <w:color w:val="auto"/>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东海县</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锦绣江南小区</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连云港港利置业有限公司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通州建总集团有限公司</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东海县分公司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和安紫薇园</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东海县和安置业有限公司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江苏铭铨建设工程有限公司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2月和3月未通过农民工工资专用账户发放工人工资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东海县城投晶祥苑二期安置房项目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东海县中宜置业有限公司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江苏晟功建设集团有限公司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城投•水晶家苑小区（小望东片区安置房）</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东海县中易置业有限公司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江苏省建筑工程集团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祥泰海陵府项目1#楼、2#楼、地下室（A-N轴交8-21轴）</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东海县高邦房地产开发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江苏文晖建设工程有限公司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未通过农民工资专用账户发放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玖玺台1-3#、5-11#楼及地下室总承包工程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连云港碧发置业有限公司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广东腾越建筑工程有限公司</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东海分公司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专用账户由分公司开设</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新建美麟峰景小区17号-22号、24号-31#号楼、S2、幼儿园及地下汽车库四区、五区及地下汽车库三区（1-21轴交YF-FG轴，19-32轴交RF-YF轴，32-39轴交JF-YF轴。）工程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连云港市明泰房地产开发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连云港市高吉建筑工程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德惠尚书房B区一期（B1#、B2#、B3#、B11#、B12#、B16#、B1#车库）</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连云港福尔多实业有限公司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江苏力达建设工程有限公司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项目管理部无考勤；2月份至今未通过农民工工资专用账户发放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祥泰海陵府3#、4#楼、5#楼、6#楼、地下室（D-AD轴/1-8轴及N-AD轴/8-25轴21-25 交L-N</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东海县高邦房地产开发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江苏文晖建设工程有限公司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代发记录缺失，月发放工资记录显示为零</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南城学府（连云港东海牛山街道项目）A区总承包工程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连云港新碧房地产开发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江苏博安建筑科技有限公司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项目经理和部分管理人员未纳入实名制考勤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珺庭小区1#-3#、5#-7#楼、服务用房、地下车库工程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东海县坤元房地产开发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江苏云之雅建设工程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年产60万吨金红石矿原矿采选矿工程项目-4#胶带机通廊、1#转运站、5#胶带机通廊、沥干池车间、粉矿仓施工总承包项目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江苏载彤新材料股份有限公司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江苏一华建设工程有限公司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缺少1月、2月和4月代发记录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东海县水晶汇安置房工程施工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东海县中易置业有限公司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江苏华实市政建设集团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东海县瑞联出租汽车综合服务中心综合楼工程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东海县瑞联公共交通有限公司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江苏力达建设工程有限公司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2023年未通过专用账户发刚工人工资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蔷薇舒苑项目1#-3#（住宅楼）及附属用房</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连云港泽顺置业有限公司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江苏中磐建设工程有限公司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2月、3月和5月未通过农民工工资专用账户发放工人工资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东海锦绣江南四期4#、5#、7#、9#、13#楼（酒店）及大地库</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连云港港利置业有限公司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连云港泰格市政工程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项目经理未纳入实名制考勤未通过农民工工资专用账户发放工资；项目经理涉嫌未在施工现场实名制考勤。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爱康新能源产业基地项目-加工车间施工项目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连云港华拓置业有限公司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江苏亮达建设集团有限公司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项目管理部未纳入实名制考勤</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新建东海县富国路中学项目</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东海县教育局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江苏晟功建设集团有限公司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2月至4月未通过农民工工资专用账户发放工资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分子筛生产线自动化提升改造及新建办公楼，仓储设施项目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江苏洁欧康科技有限公司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江苏瑞丰城建有限公司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缺少2月和4月代发工人工资</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东海县青湖中心卫生院新建</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外科综合楼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东海县青湖中心卫生院</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连云港市佳鹏建筑装饰工程有限公司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灌云县</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伊山名府建设项目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连云港恒驰实业有限公司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中国十七冶集团有限公司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东门凤凰城 1-8#楼及地下室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连云港市义龙置业有限公司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江苏朗力建设工程有限公司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伊西大道九年制实验学校建设项目一期施工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灌云县教育局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大元建业集团股份有限公司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珠江九年制实验学校建设项目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灌云县教育局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湖南鑫成建设有限责任公司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树云新村建设项目工程施工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灌云县人民政府侍庄街道</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办事处</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江苏神工装饰工程有限公司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2月、4月和5月未通过农民工工资专用账户发放农民工工资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四队供水工程建设项目EPC</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连云港亘强实业有限公司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河北省安装工程有限公司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2月至4月未通过农民工工资专用账户发放工人工资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江苏灌云空港A型保税物流园项目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连云港空港产业园投资开发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标龙建设集团有限公司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年产10万吨饲料添加剂及酸化剂项目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连云港百瑞斯食品添加剂</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江苏禾乐建设有限公司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项目经理涉嫌未在施工现场</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灌云县小伊镇全域土地综合整治祝荡村安置区建设项目一期工程施工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灌云县小伊镇人民政府</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昆山恒升建筑工程有限公司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灌云经济开发区北部片区邻里中心项目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连云港筑之金实业投资</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浩昇建设集团有限公司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未按考勤发放</w:t>
            </w:r>
            <w:r>
              <w:rPr>
                <w:rFonts w:hint="eastAsia" w:ascii="Times New Roman" w:hAnsi="Times New Roman" w:eastAsia="仿宋_GB2312" w:cs="Times New Roman"/>
                <w:color w:val="auto"/>
                <w:sz w:val="24"/>
                <w:szCs w:val="24"/>
                <w:shd w:val="clear" w:color="auto" w:fill="FFFFFF"/>
                <w:lang w:val="en-US" w:eastAsia="zh-CN"/>
              </w:rPr>
              <w:t>4</w:t>
            </w:r>
            <w:r>
              <w:rPr>
                <w:rFonts w:hint="default" w:ascii="Times New Roman" w:hAnsi="Times New Roman" w:eastAsia="仿宋_GB2312" w:cs="Times New Roman"/>
                <w:color w:val="auto"/>
                <w:sz w:val="24"/>
                <w:szCs w:val="24"/>
                <w:shd w:val="clear" w:color="auto" w:fill="FFFFFF"/>
              </w:rPr>
              <w:t>月份工人工资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灌云裕达城1#、2#、3#、5#、10#楼及地下室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连云港裕达城房地产有限公司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江苏依凡泰建筑工程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未按考勤发放</w:t>
            </w:r>
            <w:r>
              <w:rPr>
                <w:rFonts w:hint="eastAsia" w:ascii="Times New Roman" w:hAnsi="Times New Roman" w:eastAsia="仿宋_GB2312" w:cs="Times New Roman"/>
                <w:color w:val="auto"/>
                <w:sz w:val="24"/>
                <w:szCs w:val="24"/>
                <w:shd w:val="clear" w:color="auto" w:fill="FFFFFF"/>
                <w:lang w:val="en-US" w:eastAsia="zh-CN"/>
              </w:rPr>
              <w:t>4</w:t>
            </w:r>
            <w:r>
              <w:rPr>
                <w:rFonts w:hint="default" w:ascii="Times New Roman" w:hAnsi="Times New Roman" w:eastAsia="仿宋_GB2312" w:cs="Times New Roman"/>
                <w:color w:val="auto"/>
                <w:sz w:val="24"/>
                <w:szCs w:val="24"/>
                <w:shd w:val="clear" w:color="auto" w:fill="FFFFFF"/>
              </w:rPr>
              <w:t>月份工人工资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灌南县</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玫瑰园1#-3#、5#-8#楼及人防地下室工程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连云港金大地置业有限公司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南通四建集团有限公司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鑫源一品</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灌南宏远房地产开发有限公司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中建一局集团第二建筑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同天国宾府</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江苏恩源置业有限公司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福建省永泰县第三建筑工程有限公司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项目部管理人员未纳入实名制考勤；2月份至今未通过农民工工资账户发放工人工资。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赣榆区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紫宸东苑1#~3#楼、5#~13#楼、15#~17#楼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连云港国欧置业有限公司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上海松投实业有限公司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项目管理部4月至今无考勤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天樾府南苑一标段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连云港港市碧胜房地产开发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沈阳腾越建筑工程有限公司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项目管理部5月至今无考勤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苏海听涛苑3—5#楼、10#-12#楼及地下车库工程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连云港市创联置业有限公司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江苏万象建工集团有限公司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项目经理使用照片打考勤，其他管理人无考勤。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龙湖海岸华庭26#-28#楼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连云港龙湖置业有限公司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江苏大力建设集团有限公司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项目管理部无考勤记录；工资代发记录缺失（显示成功代发零元）</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海悦铭筑工程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连云港鸿熙房地产开发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江苏苏港工程有限公司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项目经理考勤率不足70%；6月份项目管理部无考勤。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滨河阳光小区</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连云港润锦房地产开发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江苏瀚东建筑安装工程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项目经理3月至今无考勤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和悦府项目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江苏润豪置业有限公司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江苏东瀛建筑工程有限公司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项目管理部无考勤记录，从2月至今无工资发放记录。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易居学府小区项目一标段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连云港百康置业有限公司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江苏德广建设工程有限公司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从2月至今无工资发放记录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观澜金海湾三期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连云港金正源房地产开发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山东金正阳建筑工程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从5月至今无工资发放记录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天樾府北苑三标段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连云港港市碧胜房地产开发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沈阳腾越建筑工程有限公司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2月至4月无工资发放记录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易居学府小区二标段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连云港百康置业有限公司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宁波市华欣建设工程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时代天荟小区（二期）</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工程总承包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江苏尚好置业有限公司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南京天泉建筑安装工程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6月份项目部无考勤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九璋赋小区</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连云港市恒盈房地产开发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广东腾越建筑工程有限公司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新国旅·蓝岸小区2-10#、38#、40#、S1-S6楼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连云港新国旅投资有限公司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连云港宽途建筑工程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九嶂赋小区二标段总承包工程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连云港市恒盈房地产开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发有限公司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沈阳腾越建筑工程有限公司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从2月至今无工资发放记录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顺泰锦绣园1#、2#、S1#、S2#、M1#、B1#楼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江苏金班汇置业有限公司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南通四建集团有限公司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项目经理无考勤，从2月至今无工资发放记录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新海石化专家生活区1#、2#、4#住宅楼和地下车库工程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江苏东明房地产有限公司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江苏华航建设集团有限公司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项目经理无考勤，只发放四月份工资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海纳春江东区总包项目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连云港融瑜置业发展有限公司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青岛建设集团股份有限公司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项目经理共考勤6天</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赣榆合樾兰亭</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连云港万新置业有限公司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江苏中慧联合建筑产业</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项目经理未在施工现场进行考勤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连云港赣榆棠樾小区项目总</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连云港市恒富房地产开发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安徽筑华慧建筑科技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项目经理共考勤9天</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新贵都”小区3#楼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连云港新贵源置业发展</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江苏华航建设集团有限公司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海樾府（3#、5#、6#、7#、12#、13#、15#、16#、20#、22#楼）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连云港赣榆泰基置业有限公司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江苏瀚东建筑安装工程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连云港赣榆公园大境小区项目一标段总承包工程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连云港市恒顺房地产开发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广东腾越建筑工程有限公司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上品学府1#-3#、5#、6#、</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连云港金轮房地产开发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三兴建设集团有限公司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2月和4月无发放工资记录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连云港赣榆天樾府云顶苑项目二标总承包工程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连云港市恒盛房地产开发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安徽筑华慧建筑科技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连云港赣榆九璋赋项目三标段总承包工程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连云港市恒盈房地产开发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沈阳腾越建筑工程有限公司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2月份至今未通过农民工工资专用账户发放农民工工资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海润华府住宅小区5#、6#、7#楼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连云港海华置业有限公司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江苏海之润建筑工程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赣榆高级中学新建综合楼项目工程总承包（EPC）</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江苏省赣榆高级中学</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江苏苏港工程有限公司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2月至4月未通过农民工工资专用账户发放农民工工资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海头镇海后村海产品电商服务中心</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连云港聚蓬阁水产批发市场</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江苏瀚东建筑安装工程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现项目未纳入实名制考勤，4月份民工工资未通过专用账户发放工人工资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赣榆区宋庄镇集中居住紫荆苑二期1#、2#、3#、4#楼及大门、南门卫工程（一标段）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连云港市赣榆区宋庄镇沙口村村民委员会</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江苏地业建设工程有限公司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徐福片区选青中小学项目工程总承包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连云港市赣榆区教育局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河北省第二建筑工程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项目管理部4月后无考勤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易客乐极生态电商中心项目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峰叠(江苏）实业发展企业</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江苏瀚东建筑安装工程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海州区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高新区LTC2019-07#地块项目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连云港竣楹房地产开发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上海华辰建筑工程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月代发记录都显示为零</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连云港华邑酒店</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平高四季置业（连云港）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上海仓桥建筑工程有限公司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项目经理考勤率低于70%；项目部分关键管理人员未纳入实名制考勤。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温哥华国际花园D1D2、A7、A8、A9#楼项目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连云港巨龙花园房地产开发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江苏广之宇建设工程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月代发显示为零，3月至今未通过农民工工资账户发放工人工资。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学院府1#、3#、5#、7#、8#、10#、11#、13￥、15#、S7#、地下车库一期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江苏融华置业发展有限公司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通州建总集团有限公司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项目管理人员无考勤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连云港市南极北区棚户区改造二期（三号地块）项目二期一、二标段工程施工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连云港市融丰置业有限公司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通州建总集团有限公司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项目管理人员无考勤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叶海华庭（一期）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连云港上铁房地产开发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中铁三局集团有限公司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工资代发记录未获取；项目经理涉嫌未在施工现场实名制考勤。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学院府2#、6#、9#、12#、S1#-S4#楼及地下车库二期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江苏融华置业发展有限公司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江苏华航建设集团有限公司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项目管理人员无考勤；3月至今无工资代发记录。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新海天成花园小区项目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连云港万成置业有限公司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江苏万象建工集团有限公司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盐河上院小区</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连云港万凯置业有限公司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江苏万象建工集团有限公司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异地新建连云港市疾病预防控制中心(公共卫生中心二期)项目工程总承包（EPC）</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连云港市公共工程建设管理中心筹建处</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中冶天工集团有限公司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四季福馨佳园10#、11#、12#楼、幼儿园</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连云港钜亿房地产开发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江苏久业建设工程有限公司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海州体育馆二期游泳馆</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江苏海州发展集团有限公司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中冶天工集团有限公司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4月份未通过农民工工资专用户发放工人工资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连云港平高金融城A楼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堂泉置业（连云港）有限公司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浙江舜江建设集团有限公司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山南福第花园二期小区项目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连云港云龙房地产开发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通州建总集团有限公司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连云港职业技术学院新建13号学生公寓项目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连云港职业技术学院</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昌建建设集团有限公司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未按月代发农民工工资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连云港市海州区新坝粮油管理所普安粮库扩建二期工程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连云港市海州区新坝粮油</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管理所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江苏高厦建设有限公司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项目经理涉嫌位未在施工现场实名制考勤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农发汽车城项目EPC工程总承包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连云港市农业发展集团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中国建筑一局（集团）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项目经理未在施工现场实名制考勤，且考勤率低于70%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连云港市红十字中心血站异地装修改建工程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连云港市红十字中心血站</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河北省第二建筑工程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项目经理考勤低于70%；未按月通过专用账户发放农民工工资。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紫金桃花源小区一期3#4#5#6#10#11#12#16#17#18#22#23#24#楼及A区、B区</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地下室工程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连云港玛宸置业有限公司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连云港市朝阳建设工程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未按月通过专用账户发放农民工工资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连云港市凌州路小学建设工程（校安工程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连云港市海州区教育局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连云港市房政建设工程有限公司</w:t>
            </w:r>
          </w:p>
        </w:tc>
        <w:tc>
          <w:tcPr>
            <w:tcW w:w="1178" w:type="pct"/>
            <w:vAlign w:val="center"/>
          </w:tcPr>
          <w:p>
            <w:pPr>
              <w:spacing w:line="280" w:lineRule="exact"/>
              <w:jc w:val="center"/>
              <w:rPr>
                <w:rFonts w:hint="eastAsia" w:ascii="Times New Roman" w:hAnsi="Times New Roman" w:eastAsia="仿宋_GB2312" w:cs="Times New Roman"/>
                <w:color w:val="auto"/>
                <w:sz w:val="24"/>
                <w:szCs w:val="24"/>
                <w:shd w:val="clear" w:color="auto" w:fill="FFFFFF"/>
                <w:lang w:val="en-US" w:eastAsia="zh-CN"/>
              </w:rPr>
            </w:pPr>
            <w:r>
              <w:rPr>
                <w:rFonts w:hint="default" w:ascii="Times New Roman" w:hAnsi="Times New Roman" w:eastAsia="仿宋_GB2312" w:cs="Times New Roman"/>
                <w:color w:val="auto"/>
                <w:sz w:val="24"/>
                <w:szCs w:val="24"/>
                <w:shd w:val="clear" w:color="auto" w:fill="FFFFFF"/>
              </w:rPr>
              <w:t>未开设农农民工工资专用账户；项目经理涉嫌未在施工现场实名制考勤，且考勤率低于70%</w:t>
            </w:r>
            <w:r>
              <w:rPr>
                <w:rFonts w:hint="eastAsia" w:ascii="Times New Roman" w:hAnsi="Times New Roman" w:eastAsia="仿宋_GB2312" w:cs="Times New Roman"/>
                <w:color w:val="auto"/>
                <w:sz w:val="24"/>
                <w:szCs w:val="24"/>
                <w:shd w:val="clear" w:color="auto" w:fill="FFFFFF"/>
                <w:lang w:eastAsia="zh-CN"/>
              </w:rPr>
              <w:t>。</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南京医科大学康达学院9#宿舍2#食堂项目工程总承包（EPC）</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江苏润科投资发展集团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中铁四局集团有限公司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项目经理涉嫌未在施工现场实名制考勤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连云区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中国电信（连云港）天翼云中心（一期）施工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江苏海州湾发展集团有限公司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江苏万象建工集团有限公司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2月至4月未通过农民工工资专用账户</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山海国际财富广场3#楼工程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连云港瑞安置业有限公司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江苏德广建设工程有限公司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上城二期项目施工总承包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连云港泓桥置业有限公司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江苏玉龙建设工程有限公司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四季花城（A组团）A15#楼、A-2#地下室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江苏东盛房地产综合开发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连云港东盛建设工程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项目管理部任关键管理人员未纳入实名制考勤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开发区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连云港市中小企业创新创 业孵化中心建设项目土建及安装工程施工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连云港众蒄联合置业有限公司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中铁建工集团第四建设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高端无菌医疗器械研发生产项目-厂房二</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江苏苏云医疗器材有限公司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江苏璟卓建筑科技有限公司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山海云庭项目1#、2#、3#、5#、6#、7#、8#、9#、10#、11#及地下室A、B区</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连云港珂创置业发展有限公司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江苏泽丰建设集团有限公司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云港经济技术开发区社区卫生服务中心改扩建项目二标段-猴 嘴社区卫生服务中心新建项目施工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连云港经济技术开发区政府投资工程服务中心</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江苏宏远建设集团有限公司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项目经理使用照片打考勤，其他管理人员未纳入实名制考勤。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新型环保材料研发、生产项目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江苏韬羽新材料有限公司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山东皓正建筑工程有限公司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项目经理使用照片打考勤，其他管理人员未纳入实名制考勤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旺山旺水（连云港）制药有限公司创新药物生产基地暨产业化公共平台（一期）污水处理站、辅助用房</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旺山旺水（连云港）制药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江苏美腾建筑装饰工程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3月至今项目管理部人员无考勤，未通过专用账户发放农民工工资。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中国（江苏）自贸区连云港国际医药创新产业园项目（二期）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连云港工投集团地产投资</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中铁上海工程局集团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项目经理考勤率低于70%，5月和6月无考勤。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国网江苏电力变电设备检修培训评价用房施工总承包项目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国网江苏省电力有限公司连云港供电分公司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江苏泓琦建设工程有限公司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液体封装材料项目-液体封装材料车间 、钢构仓库</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江苏华海诚科新材料股份</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江山建设集团有限公司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项目部管理人员未纳入实名制考勤，2月后未通过专用账户发放农民工工资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玫瑰园23#，26#-31#楼及3#A人防地下室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连云港天乾房地产开发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福建中宏盛建筑工程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项目经理考勤率低，考勤6天</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海岸明珠新城3#楼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连云港金大建设工程有限公司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江苏基柱建设工程有限公司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2月、3月、5月份工资未发放</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高效低碳燃气轮机试验装置国家重大科技基础设施项目（江苏连云港）配套工程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中国科学院工程热物理研究所</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北京建工集团有限责任公司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月代发记录缺失显示为零</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翡翠湾花园一期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连云港恒大城置业有限公司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江苏顺通建设集团有限公司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项目部管理人员未纳入实名制考勤；代发记录缺失</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融盛状元府</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江苏融福置业有限公司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厦门源昌城建集团有限公司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项目部管理人员未在施工现在实名制考勤；代发记录缺失</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连云港云庭水岸花园工程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连云港金辉房地产开发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福建卓越建设工程开发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连云港华东国际新城东苑二期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连云港振盛置业有限公司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江苏永超建设有限公司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金航花苑</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连云港金航置业有限公司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江苏卓群建设有限公司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2月至今未通过专用账户发放农民工工资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裕源新村（三期）棚户区改造项目工程施工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江苏省金桥房地产开发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山西三建集团有限公司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德惠尚书房-33#、35#、38#、39#楼、40#楼、41#楼、42#楼、43#楼、45#楼、46#楼、48#楼，地下室车库二期工程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连云港德惠置业有限公司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江苏晟功建设集团有限公司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考勤率低于70%，涉嫌</w:t>
            </w:r>
            <w:r>
              <w:rPr>
                <w:rFonts w:hint="eastAsia" w:ascii="Times New Roman" w:hAnsi="Times New Roman" w:eastAsia="仿宋_GB2312" w:cs="Times New Roman"/>
                <w:color w:val="auto"/>
                <w:sz w:val="24"/>
                <w:szCs w:val="24"/>
                <w:shd w:val="clear" w:color="auto" w:fill="FFFFFF"/>
                <w:lang w:val="en-US" w:eastAsia="zh-CN"/>
              </w:rPr>
              <w:t>未在</w:t>
            </w:r>
            <w:r>
              <w:rPr>
                <w:rFonts w:hint="default" w:ascii="Times New Roman" w:hAnsi="Times New Roman" w:eastAsia="仿宋_GB2312" w:cs="Times New Roman"/>
                <w:color w:val="auto"/>
                <w:sz w:val="24"/>
                <w:szCs w:val="24"/>
                <w:shd w:val="clear" w:color="auto" w:fill="FFFFFF"/>
              </w:rPr>
              <w:t>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连云港融盛双语学校工程-国际高中，国际综合楼、体育馆，国际幼儿园，食堂，地下汽车库，教师1#宿舍，教师2#宿舍，男生宿舍楼，女生1#宿舍楼，女生2#宿舍楼</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江苏诚毅教育投资集团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厦门源昌城建集团有限公司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项目部管理人员未纳入实名制考勤，项目经理涉嫌</w:t>
            </w:r>
            <w:r>
              <w:rPr>
                <w:rFonts w:hint="eastAsia" w:ascii="Times New Roman" w:hAnsi="Times New Roman" w:eastAsia="仿宋_GB2312" w:cs="Times New Roman"/>
                <w:color w:val="auto"/>
                <w:sz w:val="24"/>
                <w:szCs w:val="24"/>
                <w:shd w:val="clear" w:color="auto" w:fill="FFFFFF"/>
                <w:lang w:val="en-US" w:eastAsia="zh-CN"/>
              </w:rPr>
              <w:t>未在</w:t>
            </w:r>
            <w:r>
              <w:rPr>
                <w:rFonts w:hint="default" w:ascii="Times New Roman" w:hAnsi="Times New Roman" w:eastAsia="仿宋_GB2312" w:cs="Times New Roman"/>
                <w:color w:val="auto"/>
                <w:sz w:val="24"/>
                <w:szCs w:val="24"/>
                <w:shd w:val="clear" w:color="auto" w:fill="FFFFFF"/>
              </w:rPr>
              <w:t>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旺山旺水（连云港）制药有限公司创新药物生产基地暨产业化公共平台（一期）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旺山旺水（连云港）制药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江苏金土木建设集团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中华药港核心区教育培训、生活配套区工程总承包（EPC）项目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江苏鑫科医药产业投资发展</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中建八局第二建设有限公司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连云港云邸项目工程(1#楼-13#楼、15#楼保障房、16#楼、西地下室）</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连云港京辉房地产开发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福建卓越建设工程开发</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2月至今未通过农民工工资专用账户</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奥萨大健康产业研发中心及生产基地项目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连云港新奥医药科技有限公司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中国建筑第六工程局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项目部管理人员考勤低于70%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连云港经济技术开发区社区卫生服务中心改扩建项目一标段-朝阳社区卫生服务中心改扩建项目施工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连云港经济技术开发区政府投资工程服务中心</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江苏驰朗建设有限公司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项目管理部人员未纳入实名制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集团总部及进口休闲食品加工基地项目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江苏东盛食品有限公司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江苏淮阴建设工程集团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徐圩新区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连云港圣奥化学科技有限公司聚合物添加剂项目 (一期)综合楼、职工餐厅职工浴室及中央控制室装饰装修工程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深圳市晶宫建筑装饰集团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虹景新材料仓储项目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江苏省虹景新材料有限公司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大连金鼎石油化工机器</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连云港石化有限公司绿色化学新材料产业园项目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连云港徐圩城建工程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未开设农民工工资专用账户；项目管理部人员为纳入实名制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虹洋热电低碳循环供热创新示范项目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连云港虹洋热电有限公司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江苏乐筑建设工程有限公司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连云港荣泰化工仓储有限公司仓储罐区工程（五期）项目二标段土建分包工程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连云港荣泰化工仓储有限公司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中国建筑第二工程局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未通过农民工工资专用账户发放农民工工资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斯尔邦综合楼幕墙采购、施工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江苏斯尔邦石化有限公司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安徽三乐建设工程有限公司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盛虹炼化一体化项目建构筑物综合类零星维修与土建施工（第2标段）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江苏跃发建设工程有限公司</w:t>
            </w:r>
          </w:p>
        </w:tc>
        <w:tc>
          <w:tcPr>
            <w:tcW w:w="1178" w:type="pct"/>
            <w:vAlign w:val="center"/>
          </w:tcPr>
          <w:p>
            <w:pPr>
              <w:spacing w:line="280" w:lineRule="exact"/>
              <w:jc w:val="center"/>
              <w:rPr>
                <w:rFonts w:hint="eastAsia" w:ascii="Times New Roman" w:hAnsi="Times New Roman" w:eastAsia="仿宋_GB2312" w:cs="Times New Roman"/>
                <w:color w:val="auto"/>
                <w:sz w:val="24"/>
                <w:szCs w:val="24"/>
                <w:shd w:val="clear" w:color="auto" w:fill="FFFFFF"/>
                <w:lang w:eastAsia="zh-CN"/>
              </w:rPr>
            </w:pPr>
            <w:r>
              <w:rPr>
                <w:rFonts w:hint="default" w:ascii="Times New Roman" w:hAnsi="Times New Roman" w:eastAsia="仿宋_GB2312" w:cs="Times New Roman"/>
                <w:color w:val="auto"/>
                <w:sz w:val="24"/>
                <w:szCs w:val="24"/>
                <w:shd w:val="clear" w:color="auto" w:fill="FFFFFF"/>
              </w:rPr>
              <w:t>未通过农民工工资专用账户发放农民工工资；项目经理未纳入实名制考勤</w:t>
            </w:r>
            <w:r>
              <w:rPr>
                <w:rFonts w:hint="eastAsia" w:ascii="Times New Roman" w:hAnsi="Times New Roman" w:eastAsia="仿宋_GB2312" w:cs="Times New Roman"/>
                <w:color w:val="auto"/>
                <w:sz w:val="24"/>
                <w:szCs w:val="24"/>
                <w:shd w:val="clear" w:color="auto" w:fill="FFFFFF"/>
                <w:lang w:eastAsia="zh-CN"/>
              </w:rPr>
              <w:t>。</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1.5万吨/年废催化剂综合利用项目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江苏苏港环保科技有限公司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中国化学工程第十三建设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4月和5月未足额发放农民工工资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徐圩新区第二水厂三期及深度处理项目（一阶段二期）施工总承包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江苏方洋水务有限公司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徐圩新区中心河畔光伏发电工程施工总承包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江苏方洋新能源投资有限公司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江苏方洋能源科技有限公司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中化连云港循环经济产业园罐区项目二期工程港区管线标段工程总承包（EPC）</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中化连云港石化仓储有限公司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中建安装集团有限公司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项目管理人员未纳入实名制管理；未通过专用账户发放农民工工资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240万吨年精对苯二甲酸（PTA)三期主装置标段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陕西化建工程有限责任公司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未按要求足额发放农民工资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240万吨/年精对苯二甲酸（PTA）三期项目公用工程标段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吉化集团吉林市北方建设有限责任公司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只发放3月份工资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虹港石化新建项目桩基工程二标段（PTA三期桩基二标段）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南京富立方建设工程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4月和5月工资未通过农民工工资账户发放工人工资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公共罐区至奥升德配套工艺管线工程EPC（设计-采购-施工)总承包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江苏洋井公用管廊有限公司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中建安装集团有限公司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徐圩新区东香湖商业西街综合管网及室外配套工程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江苏方洋集团有限公司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连云港徐圩城建工程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项目经理未在施工实名制考勤</w:t>
            </w:r>
            <w:r>
              <w:rPr>
                <w:rFonts w:hint="eastAsia" w:ascii="Times New Roman" w:hAnsi="Times New Roman" w:eastAsia="仿宋_GB2312" w:cs="Times New Roman"/>
                <w:color w:val="auto"/>
                <w:sz w:val="24"/>
                <w:szCs w:val="24"/>
                <w:shd w:val="clear" w:color="auto" w:fill="FFFFFF"/>
                <w:lang w:eastAsia="zh-CN"/>
              </w:rPr>
              <w:t>，</w:t>
            </w:r>
            <w:r>
              <w:rPr>
                <w:rFonts w:hint="default" w:ascii="Times New Roman" w:hAnsi="Times New Roman" w:eastAsia="仿宋_GB2312" w:cs="Times New Roman"/>
                <w:color w:val="auto"/>
                <w:sz w:val="24"/>
                <w:szCs w:val="24"/>
                <w:shd w:val="clear" w:color="auto" w:fill="FFFFFF"/>
              </w:rPr>
              <w:t>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连云港圣奥化学科技有限公司聚合物添加剂（一期）建设项目高架火炬系统工程总承包（EPC）项目建筑安装工程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山东四方安装工程有限公司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代发工资记录缺失</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徐圩新区张圩湖二期灯塔路段排水完善工程一期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江苏方洋集团有限公司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连云港徐圩城建工程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未通过专用账户发放农民工工资；项目部管理人员未纳入</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实名制管理。</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25万吨/年二氧化碳回收提纯装置土建、安装工程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中石化第十建设有限公司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徐圩水厂深度处理脱盐及区域供水提升工程（二标段）施工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江苏方洋水务有限公司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徐圩水厂深度处理脱盐及区域供水提升工程（一标段）施工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江苏方洋水务有限公司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盛虹化工新材料项目九标段土建、安装工程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江苏虹景新材料有限公司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陕西建工机械施工集团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虹港石化新建项目桩基工程一标段（公用工程设施桩基工程）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安徽安舜水利建设工程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徐圩新区石化八路（石化四道-石化五道）新建工程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江苏方洋建设工程管理</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江苏天维建设工程有限公司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项目管理部人员未在施工现场</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徐圩新区石化基地次高压天然气管道三标段EPC工程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连云港中新燃气有限公司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江苏方洋能源科技有限公司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项目管理部从5月起无考勤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盛虹化工新材料项目五标段土建、安装工程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江苏虹景新材料有限公司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陕西化建工程有限责任公司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项目经理部分时间未在施工现场打考勤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徐圩新区徐圩大道（江苏大道~兰州路）新建工程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江苏方洋建设工程管理</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江苏先达建设集团有限公司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项目经理使用照片打考勤；工资代发记录未及时上传。</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云海湾二期土建、安装工程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连云港广弘实业有限公司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中兴建设有限公司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项目部管理人员考勤低于70%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徐圩新区第二水厂三期及深度处理项目（二阶段）施工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江苏方洋水务有限公司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连云港徐圩建设工程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项目经理未在施工现场实名制</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虹港石化新建项目桩基工程一标段（PTA三期项目桩基工程一标段）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安徽安舜水利建设工程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连云港石化有限公司绿色化学新材料产业园项目（一期）(区域三：碳酸酯装置；区域四：厂区外管廊）安装工程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中国核工业第五建设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项目经理部分时间未在施工现在考勤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盛虹炼化保运维护工程项目第十一标段(公用工程部)维保</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服务</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中国石油天然气第六建设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江苏瑞兆科电子材料有限公司连云港高纯项目二期一标段（电镀液添加剂装置）施工</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江苏瑞兆科电子材料有限公司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中国十五冶金建设集团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虹港石化新建项目桩基工程一标段（聚酯新材料桩基工程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江苏虹港石化有限公司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安徽安舜水利建设工程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项目经理部分时间未在施工现在考勤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中化循环经济产业园新建员工食堂项目施工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江苏瑞兆科电子材料有限公司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江苏品飞建设工程有限公司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盛虹炼化保运维护工程项目</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第八标段工程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盛虹炼化（连云港）有限公司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中油吉林化建工程有限公司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江苏德邦兴华化工股份有限公司搬迁改造工程35万吨/年合成氨系列产品项目强排站、</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消防站土建工程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江苏永超建设有限公司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项目经理未纳入实名制考勤；未足额发放农民工工资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连云港圣奥化学科技有限公司聚合物添加剂项目（一期）6万吨/年二硫化碳装置工程总承包（EPC）项目建筑安装工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兴润建设集团有限公司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项目经理由照片代打考勤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斯尔邦研发中心建设项目</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江苏斯尔邦石化有限公司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中建八局第三建设有限公司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项目经理由照片代打考勤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江苏德邦兴华化工股份有限公司搬迁改造工程35万吨/年合成氨系列产品项目污水站土建工程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江苏永超建设有限公司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项目管理部人员未实名制考勤；未足额发放工资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江苏德邦兴华化工股份有限公司搬迁改造工程35万吨/年合成氨系列产品项目气化变电所、煤储运变电所土建及安装工程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江苏永超建设有限公司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项目管理部人员未实名制考勤；未足额发放工资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江苏德邦兴华化工股份有限公司搬迁改造工程35万吨/年合成氨系列产品项目中央控制室土建工程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江苏永超建设有限公司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项目管理部人员未实名制考勤；未足额发放工资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连云港石化有限公司绿色化学新材料产业园项目（一期）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中国化学工程第三建设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代发记录缺失</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连云港石化有限公司绿色化学新材料产业园项目（区域三：公辅工程及配套设施）建筑工程施工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锦宸集团有限公司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连云港石化产业基地化学品公共保税仓储中心项目施工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连云港中远海运化工储运</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中国建筑第八工程局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江苏嘉宏新材料有限公司高性能新材料项目（1标段：双氧水装置）安装工程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江苏嘉宏新材料有限公司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中国核工业第五建设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连云港港徐圩港区四港池46#~47#液体散货泊位工程安装工程施工总承包（46-47-GYSG1标段）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连云港宝港石化码头有限公司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中国化学工程第十三建设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连云港石化产业基地公用工程岛项目一期工程一标段总承包EPC（设计-采购-施工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连云港中星能源有限公司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中国电力工程顾问集团西北电力设计院有限公司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项目管理部2月至今未实名制考勤；未通过专用账户发放农民工工资。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连云港圣奥化学科技有限公司聚合物添加剂项目（一期）6.7万吨/年硫回收装置工程总承包（EPC）</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山东三维化学集团股份</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项目经理使用图片打考勤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连云港圣奥化学科技有限公司聚合物添加剂项目（一期）配套工程一标段施工总承包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连云港圣奥化学科技有限公司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中建安装集团有限公司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1月、2月、3月和5月未通过农民工工资专用账户发放农民工</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工资</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碳三产业一期工程废水生化处理装置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江苏瑞恒新材料科技有限公司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中国化学工程第六建设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碳三产业一期工程55万吨/年50%双氧水装置施工总承包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江苏瑞恒新材料科技有限公司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湖南省工业设备安装</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徐圩新区石化公共管廊五、六、七期及徐圩港区商业储运基地公共配套工程一期工程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连云港深港石化能源科技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中化学建设投资集团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项目部管理人员未在施工现场实名制考勤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江苏德邦兴华化工股份有限公司搬迁改造工程35万吨/年合成氨系列产品项目空分土建安装工程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江苏德邦兴华化工科技</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中国二十冶集团有限公司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碳三产业一期工程60万吨/年丙烷脱氢项目施工总承包</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江苏瑞恒新材料科技有限公司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中建安装集团有限公司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连云港浦南门站至徐圩调压站天然气管道工程二标段施工</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连云港中新燃气有限公司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南京南化建设有限公司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项目管理部未纳入实名制考勤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连云港石化产业基地公用工程岛项目一期工程一标段工程主体建安工程标段A；主厂房区域建筑工程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连云港中星能源有限公司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西北电力建设第三工程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项目经理考勤率低于70%，项目管理人员未纳入实名制考勤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连云港石化产业基地公共罐区一期项目工程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江苏洋井石化集团有限公司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中国化学工程第十六建设</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项目经理使用照片打考勤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连云港虹洋热电联产扩建项目（原场址） 建筑安装施工二标段</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连云港虹洋热电有限公司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中国能源建设集团广东火电工程有限公司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项目经理未纳入实名制考勤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连云开发区</w:t>
            </w: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板桥工业园热电联产项目-主厂房二期</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丰益高分子材料（连云港）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宝钢工程建设有限公司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2月至今未通过专用账户发放农民工资；项目部管理人员无考勤</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年产30万吨基础油化项目-抗爆机柜间、脂肪酸氢化1单元、生产、消防给水站、脂化罐区单元、原料罐区单元、外管廊架工程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丰益高分子材料（连云港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河北省第三建筑工程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农民工资代发记录缺失</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丰益基础油化项目-蒸馏分提单元、水解甘油单元</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丰益高分子材料（连云港）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福建省惠东建筑工程</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1</w:t>
            </w:r>
            <w:r>
              <w:rPr>
                <w:rFonts w:hint="eastAsia" w:ascii="Times New Roman" w:hAnsi="Times New Roman" w:eastAsia="仿宋_GB2312" w:cs="Times New Roman"/>
                <w:color w:val="auto"/>
                <w:sz w:val="24"/>
                <w:szCs w:val="24"/>
                <w:shd w:val="clear" w:color="auto" w:fill="FFFFFF"/>
                <w:lang w:val="en-US" w:eastAsia="zh-CN"/>
              </w:rPr>
              <w:t>月至</w:t>
            </w:r>
            <w:r>
              <w:rPr>
                <w:rFonts w:hint="default" w:ascii="Times New Roman" w:hAnsi="Times New Roman" w:eastAsia="仿宋_GB2312" w:cs="Times New Roman"/>
                <w:color w:val="auto"/>
                <w:sz w:val="24"/>
                <w:szCs w:val="24"/>
                <w:shd w:val="clear" w:color="auto" w:fill="FFFFFF"/>
              </w:rPr>
              <w:t>3月无工资代发记录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年产30万吨基础油化项目-成品罐区、辅料仓库/危废仓库/化学品仓库、中间品罐区、总变电所、抗爆控制室工程</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丰益高分子材料（连云港）</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江苏淮阴建设工程集团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项目经理考勤率不足70%（每个月只有5天）</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丰树连云港物流产业园项目</w:t>
            </w:r>
          </w:p>
        </w:tc>
        <w:tc>
          <w:tcPr>
            <w:tcW w:w="106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丰崇仓储（连云港）有限公司</w:t>
            </w:r>
          </w:p>
        </w:tc>
        <w:tc>
          <w:tcPr>
            <w:tcW w:w="103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上海海怡建设（集团）</w:t>
            </w:r>
          </w:p>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项目经理无考勤记录</w:t>
            </w:r>
          </w:p>
        </w:tc>
        <w:tc>
          <w:tcPr>
            <w:tcW w:w="305" w:type="pc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板桥热电联产项目110KV变电站</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丰益高分子材料（连云港）</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江苏淮阴建设工程集团</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6月份项目</w:t>
            </w:r>
            <w:r>
              <w:rPr>
                <w:rFonts w:hint="eastAsia" w:ascii="Times New Roman" w:hAnsi="Times New Roman" w:eastAsia="仿宋_GB2312" w:cs="Times New Roman"/>
                <w:color w:val="auto"/>
                <w:sz w:val="24"/>
                <w:szCs w:val="24"/>
                <w:shd w:val="clear" w:color="auto" w:fill="FFFFFF"/>
                <w:lang w:val="en-US" w:eastAsia="zh-CN"/>
              </w:rPr>
              <w:t>管理</w:t>
            </w:r>
            <w:r>
              <w:rPr>
                <w:rFonts w:hint="default" w:ascii="Times New Roman" w:hAnsi="Times New Roman" w:eastAsia="仿宋_GB2312" w:cs="Times New Roman"/>
                <w:color w:val="auto"/>
                <w:sz w:val="24"/>
                <w:szCs w:val="24"/>
                <w:shd w:val="clear" w:color="auto" w:fill="FFFFFF"/>
              </w:rPr>
              <w:t>部无考勤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鑫港海外高标仓项目</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连云港市聚鑫源物流有限公司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江苏海棠建设工程有限公司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未从专用账户里代发农民工工资</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年集中处理300万吨炉料项目--标准厂房</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连云港华乐不锈钢制品</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中建二局第二建筑工程</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未开设农民工工资账户；项目管理人未纳入实名制考勤。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利海化工新建甲类仓库项目</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连云港市公投集团利海化工</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江苏上元建材建筑有限公司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项目经理考勤率不足70%（3月至今只有2天）</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高新区</w:t>
            </w: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中盛康城住宅小区二期21#-30#楼、沿街商业、地下汽车库</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连云港中盛置业有限公司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连云港东盛建设工程</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项目经理考勤率低于70%</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连云港高新区碧桂园三期二标段总承包工程</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连云港东碧房地产开发</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安徽筑华慧建筑科技</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4月和5月未发放农民工工资</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连云港市建筑科学院检测用房扩建工程-6#检测车间</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连云港市建筑科学研究院</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连云港景之润建设有限公司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未足额发放农民工工资</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均和云谷连云港智能装备产业园项目一期</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均和(连云港)科技产业发展</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南京市住宅建设有限公司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未通过专用账户发放农民工工资</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连云港畅航科技高端制造业生产研发综合体（一期）</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连云港鸿瑞水泥制品</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有限责任公司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江苏妙禄建设工程有限公司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未通过专用账户发放农民工工资</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restart"/>
            <w:vAlign w:val="center"/>
          </w:tcPr>
          <w:p>
            <w:pPr>
              <w:spacing w:line="28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b/>
                <w:bCs/>
                <w:color w:val="auto"/>
                <w:sz w:val="24"/>
                <w:szCs w:val="24"/>
                <w:shd w:val="clear" w:color="auto" w:fill="FFFFFF"/>
              </w:rPr>
              <w:t>云台山景区</w:t>
            </w: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云台街道樱桃谷新型农村社区一期工程一标段总承包（EPC）</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连云港市润农新农村发展建设有限公司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中铁六局集团有限公司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4月至今项目部管理人员无考勤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南天门景点及服务点改造工程工程总承包（EPC)项目</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连云港市文化旅游发展集团</w:t>
            </w:r>
          </w:p>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中建八局第四建设有限公司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未通过专用账户发放工人工资；项目管理部1月至3月考勤率不足70%，4月至6月无考勤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云台街道樱桃谷新型农村社区一期工程二标段总承包（EPC）</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连云港市润农新农村发展建设有限公司</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中铁六局集团有限公司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4月至今项目经理无考勤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27" w:type="pct"/>
            <w:vMerge w:val="continue"/>
            <w:vAlign w:val="center"/>
          </w:tcPr>
          <w:p>
            <w:pPr>
              <w:spacing w:line="280" w:lineRule="exact"/>
              <w:rPr>
                <w:rFonts w:hint="default" w:ascii="Times New Roman" w:hAnsi="Times New Roman" w:eastAsia="仿宋_GB2312" w:cs="Times New Roman"/>
                <w:color w:val="auto"/>
                <w:sz w:val="24"/>
              </w:rPr>
            </w:pPr>
          </w:p>
        </w:tc>
        <w:tc>
          <w:tcPr>
            <w:tcW w:w="1082"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连云港市关里中心小学新建综合楼</w:t>
            </w:r>
          </w:p>
        </w:tc>
        <w:tc>
          <w:tcPr>
            <w:tcW w:w="106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连云港市关里中心小学</w:t>
            </w:r>
          </w:p>
        </w:tc>
        <w:tc>
          <w:tcPr>
            <w:tcW w:w="103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江苏远长建设有限公司</w:t>
            </w:r>
          </w:p>
        </w:tc>
        <w:tc>
          <w:tcPr>
            <w:tcW w:w="1178"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r>
              <w:rPr>
                <w:rFonts w:hint="default" w:ascii="Times New Roman" w:hAnsi="Times New Roman" w:eastAsia="仿宋_GB2312" w:cs="Times New Roman"/>
                <w:color w:val="auto"/>
                <w:sz w:val="24"/>
                <w:szCs w:val="24"/>
                <w:shd w:val="clear" w:color="auto" w:fill="FFFFFF"/>
              </w:rPr>
              <w:t>项目经理未在施工现场考勤</w:t>
            </w:r>
          </w:p>
        </w:tc>
        <w:tc>
          <w:tcPr>
            <w:tcW w:w="305" w:type="pct"/>
            <w:vAlign w:val="center"/>
          </w:tcPr>
          <w:p>
            <w:pPr>
              <w:spacing w:line="260" w:lineRule="exact"/>
              <w:jc w:val="center"/>
              <w:rPr>
                <w:rFonts w:hint="default" w:ascii="Times New Roman" w:hAnsi="Times New Roman" w:eastAsia="仿宋_GB2312" w:cs="Times New Roman"/>
                <w:color w:val="auto"/>
                <w:sz w:val="24"/>
                <w:szCs w:val="24"/>
                <w:shd w:val="clear" w:color="auto" w:fill="FFFFFF"/>
              </w:rPr>
            </w:pPr>
          </w:p>
        </w:tc>
      </w:tr>
    </w:tbl>
    <w:p>
      <w:pPr>
        <w:pBdr>
          <w:top w:val="none" w:color="auto" w:sz="0" w:space="1"/>
          <w:left w:val="none" w:color="auto" w:sz="0" w:space="0"/>
          <w:bottom w:val="none" w:color="auto" w:sz="0" w:space="1"/>
          <w:right w:val="none" w:color="auto" w:sz="0" w:space="0"/>
          <w:between w:val="none" w:color="auto" w:sz="0" w:space="0"/>
        </w:pBdr>
        <w:spacing w:line="560" w:lineRule="exact"/>
        <w:rPr>
          <w:rFonts w:hint="default" w:ascii="Times New Roman" w:hAnsi="Times New Roman" w:eastAsia="仿宋_GB2312"/>
          <w:sz w:val="28"/>
          <w:szCs w:val="28"/>
          <w:lang w:val="en-US"/>
        </w:rPr>
      </w:pPr>
      <w:r>
        <w:rPr>
          <w:rFonts w:ascii="Times New Roman" w:hAnsi="Times New Roman" w:eastAsia="仿宋_GB2312"/>
          <w:b/>
          <w:bCs/>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r>
        <w:rPr>
          <w:rFonts w:hint="eastAsia" w:ascii="仿宋_GB2312" w:eastAsia="仿宋_GB2312" w:cs="仿宋_GB2312"/>
          <w:color w:val="525353"/>
          <w:sz w:val="31"/>
          <w:szCs w:val="31"/>
          <w:shd w:val="clear" w:color="auto" w:fill="FFFFFF"/>
          <w:lang w:val="en-US" w:eastAsia="zh-CN"/>
        </w:rPr>
        <w:t xml:space="preserve">    </w:t>
      </w:r>
    </w:p>
    <w:sectPr>
      <w:pgSz w:w="16838" w:h="11906" w:orient="landscape"/>
      <w:pgMar w:top="2098" w:right="1474" w:bottom="1984" w:left="1587" w:header="851" w:footer="992" w:gutter="0"/>
      <w:pgNumType w:fmt="numberInDash"/>
      <w:cols w:space="0" w:num="1"/>
      <w:rtlGutter w:val="0"/>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91195"/>
    <w:rsid w:val="0000605A"/>
    <w:rsid w:val="00011173"/>
    <w:rsid w:val="00013CA3"/>
    <w:rsid w:val="00016461"/>
    <w:rsid w:val="000312D8"/>
    <w:rsid w:val="00035912"/>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6A5B"/>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61C54"/>
    <w:rsid w:val="005711B1"/>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130A"/>
    <w:rsid w:val="00782F05"/>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E4D8C"/>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14C3F60"/>
    <w:rsid w:val="043644E7"/>
    <w:rsid w:val="0AD10AF1"/>
    <w:rsid w:val="1C8D4426"/>
    <w:rsid w:val="1D1B7747"/>
    <w:rsid w:val="1F3A7B4B"/>
    <w:rsid w:val="23F30A91"/>
    <w:rsid w:val="25102021"/>
    <w:rsid w:val="2AEE3492"/>
    <w:rsid w:val="2DA02EE8"/>
    <w:rsid w:val="37DD6C7B"/>
    <w:rsid w:val="3B9946AD"/>
    <w:rsid w:val="45D25817"/>
    <w:rsid w:val="4BB73C10"/>
    <w:rsid w:val="544B6F9E"/>
    <w:rsid w:val="5D964B36"/>
    <w:rsid w:val="5E4B16D0"/>
    <w:rsid w:val="5EC24654"/>
    <w:rsid w:val="64B940F2"/>
    <w:rsid w:val="70CD5179"/>
    <w:rsid w:val="7285772D"/>
    <w:rsid w:val="775E5B74"/>
    <w:rsid w:val="77C02A00"/>
    <w:rsid w:val="7B1B39CF"/>
    <w:rsid w:val="7E393074"/>
    <w:rsid w:val="7F2C21C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paragraph" w:customStyle="1" w:styleId="13">
    <w:name w:val="paragraphindentn"/>
    <w:basedOn w:val="1"/>
    <w:qFormat/>
    <w:uiPriority w:val="0"/>
    <w:pPr>
      <w:widowControl/>
      <w:spacing w:before="210" w:after="100" w:afterAutospacing="1" w:line="480" w:lineRule="atLeast"/>
      <w:ind w:firstLine="480"/>
      <w:jc w:val="left"/>
    </w:pPr>
    <w:rPr>
      <w:rFonts w:ascii="宋体" w:hAnsi="宋体" w:cs="宋体"/>
      <w:color w:val="4E4E4E"/>
      <w:kern w:val="0"/>
      <w:sz w:val="24"/>
    </w:r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13121</Words>
  <Characters>13670</Characters>
  <Lines>17</Lines>
  <Paragraphs>5</Paragraphs>
  <TotalTime>40</TotalTime>
  <ScaleCrop>false</ScaleCrop>
  <LinksUpToDate>false</LinksUpToDate>
  <CharactersWithSpaces>13695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简单的幸福</cp:lastModifiedBy>
  <cp:lastPrinted>2023-06-30T08:29:16Z</cp:lastPrinted>
  <dcterms:modified xsi:type="dcterms:W3CDTF">2023-06-30T08:30:11Z</dcterms:modified>
  <dc:title>徐州市财政局文件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335479FA164B4D4580EA02D67A0F1C5C_13</vt:lpwstr>
  </property>
</Properties>
</file>