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980" w:lineRule="exact"/>
        <w:jc w:val="center"/>
        <w:rPr>
          <w:rFonts w:ascii="方正小标宋简体" w:eastAsia="方正小标宋简体"/>
          <w:color w:val="FF0000"/>
          <w:spacing w:val="40"/>
          <w:w w:val="60"/>
          <w:sz w:val="96"/>
          <w:szCs w:val="96"/>
        </w:rPr>
      </w:pPr>
    </w:p>
    <w:p>
      <w:pPr>
        <w:snapToGrid w:val="0"/>
        <w:jc w:val="center"/>
        <w:rPr>
          <w:rFonts w:ascii="方正小标宋简体" w:eastAsia="方正小标宋简体"/>
          <w:color w:val="FF0000"/>
          <w:spacing w:val="30"/>
          <w:w w:val="60"/>
          <w:sz w:val="96"/>
          <w:szCs w:val="96"/>
        </w:rPr>
      </w:pPr>
      <w:r>
        <w:rPr>
          <w:rFonts w:hint="eastAsia" w:ascii="方正小标宋简体" w:eastAsia="方正小标宋简体"/>
          <w:color w:val="FF0000"/>
          <w:spacing w:val="30"/>
          <w:w w:val="60"/>
          <w:sz w:val="96"/>
          <w:szCs w:val="96"/>
        </w:rPr>
        <w:t>连云港市住房和城乡</w:t>
      </w:r>
      <w:r>
        <w:rPr>
          <w:rFonts w:ascii="方正小标宋简体" w:eastAsia="方正小标宋简体"/>
          <w:color w:val="FF0000"/>
          <w:spacing w:val="30"/>
          <w:w w:val="60"/>
          <w:sz w:val="96"/>
          <w:szCs w:val="96"/>
        </w:rPr>
        <w:t>建设局</w:t>
      </w:r>
      <w:r>
        <w:rPr>
          <w:rFonts w:hint="eastAsia" w:ascii="方正小标宋简体" w:eastAsia="方正小标宋简体"/>
          <w:color w:val="FF0000"/>
          <w:spacing w:val="30"/>
          <w:w w:val="60"/>
          <w:sz w:val="96"/>
          <w:szCs w:val="96"/>
        </w:rPr>
        <w:t>文件</w:t>
      </w:r>
    </w:p>
    <w:p>
      <w:pPr>
        <w:snapToGrid w:val="0"/>
        <w:spacing w:line="480" w:lineRule="exact"/>
        <w:jc w:val="center"/>
        <w:rPr>
          <w:rFonts w:ascii="仿宋_GB2312" w:hAnsi="Batang" w:eastAsia="仿宋_GB2312"/>
          <w:sz w:val="40"/>
          <w:szCs w:val="40"/>
        </w:rPr>
      </w:pPr>
    </w:p>
    <w:p>
      <w:pPr>
        <w:snapToGrid w:val="0"/>
        <w:spacing w:line="480" w:lineRule="exact"/>
        <w:jc w:val="center"/>
        <w:rPr>
          <w:rFonts w:ascii="仿宋_GB2312" w:hAnsi="Batang" w:eastAsia="仿宋_GB2312"/>
          <w:sz w:val="40"/>
          <w:szCs w:val="40"/>
        </w:rPr>
      </w:pPr>
    </w:p>
    <w:p>
      <w:pPr>
        <w:tabs>
          <w:tab w:val="left" w:pos="10190"/>
        </w:tabs>
        <w:snapToGrid w:val="0"/>
        <w:spacing w:beforeLines="10" w:line="460" w:lineRule="exact"/>
        <w:ind w:firstLine="305" w:firstLineChars="98"/>
        <w:jc w:val="center"/>
        <w:rPr>
          <w:rFonts w:ascii="Times New Roman" w:hAnsi="Times New Roman" w:eastAsia="仿宋_GB2312"/>
          <w:sz w:val="32"/>
          <w:szCs w:val="32"/>
        </w:rPr>
      </w:pPr>
      <w:bookmarkStart w:id="0" w:name="文号"/>
      <w:r>
        <w:rPr>
          <w:rFonts w:hint="eastAsia" w:ascii="Times New Roman" w:hAnsi="Times New Roman" w:eastAsia="仿宋_GB2312"/>
          <w:sz w:val="32"/>
          <w:szCs w:val="32"/>
        </w:rPr>
        <w:t>连建质安</w:t>
      </w:r>
      <w:r>
        <w:rPr>
          <w:rFonts w:ascii="Times New Roman" w:eastAsia="仿宋_GB2312"/>
          <w:sz w:val="32"/>
          <w:szCs w:val="32"/>
        </w:rPr>
        <w:t>〔</w:t>
      </w:r>
      <w:r>
        <w:rPr>
          <w:rFonts w:ascii="Times New Roman" w:hAnsi="Times New Roman" w:eastAsia="仿宋_GB2312"/>
          <w:sz w:val="32"/>
          <w:szCs w:val="32"/>
        </w:rPr>
        <w:t>2020</w:t>
      </w:r>
      <w:r>
        <w:rPr>
          <w:rFonts w:ascii="Times New Roman" w:eastAsia="仿宋_GB2312"/>
          <w:sz w:val="32"/>
          <w:szCs w:val="32"/>
        </w:rPr>
        <w:t>〕</w:t>
      </w:r>
      <w:r>
        <w:rPr>
          <w:rFonts w:hint="eastAsia" w:ascii="Times New Roman" w:hAnsi="Times New Roman" w:eastAsia="仿宋_GB2312"/>
          <w:sz w:val="32"/>
          <w:szCs w:val="32"/>
        </w:rPr>
        <w:t>277号</w:t>
      </w:r>
      <w:bookmarkEnd w:id="0"/>
    </w:p>
    <w:p>
      <w:pPr>
        <w:snapToGrid w:val="0"/>
        <w:spacing w:beforeLines="10" w:line="460" w:lineRule="exact"/>
        <w:rPr>
          <w:rFonts w:ascii="仿宋_GB2312" w:hAnsi="Batang" w:eastAsia="仿宋_GB2312"/>
          <w:sz w:val="44"/>
        </w:rPr>
      </w:pPr>
      <w:r>
        <w:rPr>
          <w:rFonts w:ascii="仿宋_GB2312" w:hAnsi="Batang" w:eastAsia="仿宋_GB2312"/>
          <w:sz w:val="44"/>
          <w:szCs w:val="44"/>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98425</wp:posOffset>
                </wp:positionV>
                <wp:extent cx="5572125" cy="635"/>
                <wp:effectExtent l="0" t="13970" r="9525" b="23495"/>
                <wp:wrapNone/>
                <wp:docPr id="1" name="直线 20"/>
                <wp:cNvGraphicFramePr/>
                <a:graphic xmlns:a="http://schemas.openxmlformats.org/drawingml/2006/main">
                  <a:graphicData uri="http://schemas.microsoft.com/office/word/2010/wordprocessingShape">
                    <wps:wsp>
                      <wps:cNvCnPr/>
                      <wps:spPr>
                        <a:xfrm>
                          <a:off x="0" y="0"/>
                          <a:ext cx="5572125" cy="63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线 20" o:spid="_x0000_s1026" o:spt="20" style="position:absolute;left:0pt;margin-left:2.25pt;margin-top:7.75pt;height:0.05pt;width:438.75pt;z-index:251658240;mso-width-relative:page;mso-height-relative:page;" filled="f" stroked="t" coordsize="21600,21600" o:gfxdata="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AVCeF1QAAAAcBAAAPAAAAAAAAAAEAIAAA&#10;ACIAAABkcnMvZG93bnJldi54bWxQSwECFAAUAAAACACHTuJAB2DWsNYBAACfAwAADgAAAAAAAAAB&#10;ACAAAAAkAQAAZHJzL2Uyb0RvYy54bWxQSwUGAAAAAAYABgBZAQAAbAUAAAAA&#10;">
                <v:fill on="f" focussize="0,0"/>
                <v:stroke weight="2.25pt" color="#FF0000" joinstyle="round"/>
                <v:imagedata o:title=""/>
                <o:lock v:ext="edit" aspectratio="f"/>
              </v:line>
            </w:pict>
          </mc:Fallback>
        </mc:AlternateContent>
      </w:r>
    </w:p>
    <w:p>
      <w:pPr>
        <w:snapToGrid w:val="0"/>
        <w:spacing w:line="460" w:lineRule="exact"/>
        <w:rPr>
          <w:rFonts w:eastAsia="仿宋_GB2312"/>
          <w:sz w:val="44"/>
        </w:rPr>
      </w:pPr>
      <w:bookmarkStart w:id="1" w:name="附件"/>
      <w:bookmarkEnd w:id="1"/>
    </w:p>
    <w:p>
      <w:pPr>
        <w:widowControl/>
        <w:shd w:val="clear" w:color="auto" w:fill="FFFFFF"/>
        <w:spacing w:line="560" w:lineRule="exact"/>
        <w:jc w:val="center"/>
        <w:rPr>
          <w:rFonts w:ascii="Times New Roman" w:hAnsi="Times New Roman" w:eastAsia="方正小标宋简体"/>
          <w:bCs/>
          <w:color w:val="000000"/>
          <w:kern w:val="0"/>
          <w:sz w:val="44"/>
          <w:szCs w:val="44"/>
        </w:rPr>
      </w:pPr>
      <w:bookmarkStart w:id="2" w:name="Content"/>
      <w:bookmarkEnd w:id="2"/>
      <w:r>
        <w:rPr>
          <w:rFonts w:hint="eastAsia" w:ascii="Times New Roman" w:hAnsi="Times New Roman" w:eastAsia="方正小标宋简体"/>
          <w:bCs/>
          <w:color w:val="000000"/>
          <w:kern w:val="0"/>
          <w:sz w:val="44"/>
          <w:szCs w:val="44"/>
        </w:rPr>
        <w:t>连云港市住</w:t>
      </w:r>
      <w:bookmarkStart w:id="4" w:name="_GoBack"/>
      <w:bookmarkEnd w:id="4"/>
      <w:r>
        <w:rPr>
          <w:rFonts w:hint="eastAsia" w:ascii="Times New Roman" w:hAnsi="Times New Roman" w:eastAsia="方正小标宋简体"/>
          <w:bCs/>
          <w:color w:val="000000"/>
          <w:kern w:val="0"/>
          <w:sz w:val="44"/>
          <w:szCs w:val="44"/>
        </w:rPr>
        <w:t>房和城乡建设局</w:t>
      </w:r>
    </w:p>
    <w:p>
      <w:pPr>
        <w:pStyle w:val="6"/>
        <w:snapToGrid w:val="0"/>
        <w:spacing w:before="0" w:beforeAutospacing="0" w:after="0" w:afterAutospacing="0" w:line="560" w:lineRule="exact"/>
        <w:jc w:val="center"/>
        <w:rPr>
          <w:rFonts w:ascii="Times New Roman" w:hAnsi="Times New Roman" w:eastAsia="方正小标宋简体"/>
          <w:bCs/>
          <w:sz w:val="44"/>
          <w:szCs w:val="44"/>
        </w:rPr>
      </w:pPr>
      <w:r>
        <w:rPr>
          <w:rFonts w:hint="eastAsia" w:ascii="Times New Roman" w:hAnsi="Times New Roman" w:eastAsia="方正小标宋简体"/>
          <w:bCs/>
          <w:sz w:val="44"/>
          <w:szCs w:val="44"/>
        </w:rPr>
        <w:t>关于开展</w:t>
      </w:r>
      <w:r>
        <w:rPr>
          <w:rFonts w:ascii="Times New Roman" w:hAnsi="Times New Roman" w:eastAsia="方正小标宋简体"/>
          <w:bCs/>
          <w:sz w:val="44"/>
          <w:szCs w:val="44"/>
        </w:rPr>
        <w:t>2020</w:t>
      </w:r>
      <w:r>
        <w:rPr>
          <w:rFonts w:hint="eastAsia" w:ascii="Times New Roman" w:hAnsi="Times New Roman" w:eastAsia="方正小标宋简体"/>
          <w:bCs/>
          <w:sz w:val="44"/>
          <w:szCs w:val="44"/>
        </w:rPr>
        <w:t>年度预拌混凝土生产企业</w:t>
      </w:r>
    </w:p>
    <w:p>
      <w:pPr>
        <w:pStyle w:val="6"/>
        <w:snapToGrid w:val="0"/>
        <w:spacing w:before="0" w:beforeAutospacing="0" w:after="0" w:afterAutospacing="0" w:line="560" w:lineRule="exact"/>
        <w:jc w:val="center"/>
        <w:rPr>
          <w:rFonts w:ascii="Times New Roman" w:hAnsi="Times New Roman" w:eastAsia="方正小标宋简体"/>
          <w:bCs/>
          <w:sz w:val="44"/>
          <w:szCs w:val="44"/>
        </w:rPr>
      </w:pPr>
      <w:r>
        <w:rPr>
          <w:rFonts w:hint="eastAsia" w:ascii="Times New Roman" w:hAnsi="Times New Roman" w:eastAsia="方正小标宋简体"/>
          <w:bCs/>
          <w:sz w:val="44"/>
          <w:szCs w:val="44"/>
        </w:rPr>
        <w:t>专项执法监督检查的通知</w:t>
      </w:r>
    </w:p>
    <w:p>
      <w:pPr>
        <w:pStyle w:val="6"/>
        <w:snapToGrid w:val="0"/>
        <w:spacing w:before="0" w:beforeAutospacing="0" w:after="0" w:afterAutospacing="0" w:line="560" w:lineRule="exact"/>
        <w:jc w:val="both"/>
        <w:rPr>
          <w:rFonts w:eastAsia="仿宋_GB2312"/>
          <w:sz w:val="32"/>
          <w:szCs w:val="32"/>
        </w:rPr>
      </w:pPr>
      <w:r>
        <w:rPr>
          <w:rFonts w:hint="eastAsia" w:eastAsia="仿宋_GB2312" w:cs="宋体"/>
          <w:sz w:val="32"/>
          <w:szCs w:val="32"/>
        </w:rPr>
        <w:t xml:space="preserve">    </w:t>
      </w:r>
    </w:p>
    <w:p>
      <w:pPr>
        <w:pStyle w:val="6"/>
        <w:snapToGrid w:val="0"/>
        <w:spacing w:before="0" w:beforeAutospacing="0" w:after="0" w:afterAutospacing="0" w:line="560" w:lineRule="exact"/>
        <w:jc w:val="both"/>
        <w:rPr>
          <w:rFonts w:eastAsia="仿宋_GB2312"/>
          <w:sz w:val="32"/>
          <w:szCs w:val="32"/>
        </w:rPr>
      </w:pPr>
      <w:r>
        <w:rPr>
          <w:rFonts w:hint="eastAsia" w:eastAsia="仿宋_GB2312"/>
          <w:color w:val="000000"/>
          <w:sz w:val="32"/>
          <w:szCs w:val="32"/>
        </w:rPr>
        <w:t>各县（区）、功能板块住（规）建局，</w:t>
      </w:r>
      <w:r>
        <w:rPr>
          <w:rFonts w:hint="eastAsia" w:eastAsia="仿宋_GB2312"/>
          <w:sz w:val="32"/>
          <w:szCs w:val="32"/>
        </w:rPr>
        <w:t>各有关单位：</w:t>
      </w:r>
    </w:p>
    <w:p>
      <w:pPr>
        <w:pStyle w:val="6"/>
        <w:snapToGrid w:val="0"/>
        <w:spacing w:before="0" w:beforeAutospacing="0" w:after="0" w:afterAutospacing="0" w:line="560" w:lineRule="exact"/>
        <w:ind w:firstLine="645"/>
        <w:jc w:val="both"/>
        <w:rPr>
          <w:rFonts w:eastAsia="仿宋_GB2312"/>
          <w:sz w:val="32"/>
          <w:szCs w:val="32"/>
        </w:rPr>
      </w:pPr>
      <w:r>
        <w:rPr>
          <w:rFonts w:hint="eastAsia" w:eastAsia="仿宋_GB2312"/>
          <w:sz w:val="32"/>
          <w:szCs w:val="32"/>
        </w:rPr>
        <w:t>为加强对预拌混凝土的质量管理，进一步规范预拌混凝土生产企业的质量行为，确保我市建设工程结构质量安全，促进预拌混凝土产业的健康发展，市住建局定于近期在全市范围内开展预拌混凝土生产企业专项执法监督检查工作</w:t>
      </w:r>
      <w:r>
        <w:rPr>
          <w:rFonts w:eastAsia="仿宋_GB2312"/>
          <w:sz w:val="32"/>
          <w:szCs w:val="32"/>
        </w:rPr>
        <w:t>。</w:t>
      </w:r>
      <w:r>
        <w:rPr>
          <w:rFonts w:hint="eastAsia" w:eastAsia="仿宋_GB2312"/>
          <w:sz w:val="32"/>
          <w:szCs w:val="32"/>
        </w:rPr>
        <w:t xml:space="preserve"> </w:t>
      </w:r>
    </w:p>
    <w:p>
      <w:pPr>
        <w:pStyle w:val="6"/>
        <w:snapToGrid w:val="0"/>
        <w:spacing w:before="0" w:beforeAutospacing="0" w:after="0" w:afterAutospacing="0" w:line="560" w:lineRule="exact"/>
        <w:ind w:firstLine="622" w:firstLineChars="200"/>
        <w:jc w:val="both"/>
        <w:rPr>
          <w:rFonts w:eastAsia="黑体"/>
          <w:sz w:val="32"/>
          <w:szCs w:val="32"/>
        </w:rPr>
      </w:pPr>
      <w:r>
        <w:rPr>
          <w:rFonts w:hint="eastAsia" w:eastAsia="黑体"/>
          <w:sz w:val="32"/>
          <w:szCs w:val="32"/>
        </w:rPr>
        <w:t>一、检查依据</w:t>
      </w:r>
    </w:p>
    <w:p>
      <w:pPr>
        <w:pStyle w:val="6"/>
        <w:snapToGrid w:val="0"/>
        <w:spacing w:before="0" w:beforeAutospacing="0" w:after="0" w:afterAutospacing="0" w:line="560" w:lineRule="exact"/>
        <w:ind w:firstLine="467" w:firstLineChars="150"/>
        <w:rPr>
          <w:rFonts w:ascii="Times New Roman" w:hAnsi="Times New Roman" w:eastAsia="仿宋_GB2312"/>
          <w:sz w:val="32"/>
          <w:szCs w:val="32"/>
        </w:rPr>
      </w:pPr>
      <w:r>
        <w:rPr>
          <w:rFonts w:hint="eastAsia" w:ascii="Times New Roman" w:eastAsia="仿宋_GB2312"/>
          <w:sz w:val="32"/>
          <w:szCs w:val="32"/>
        </w:rPr>
        <w:t>《建设工程质量管理条例》、《建设工程质量检测管理办法》（建设部令第</w:t>
      </w:r>
      <w:r>
        <w:rPr>
          <w:rFonts w:ascii="Times New Roman" w:hAnsi="Times New Roman" w:eastAsia="仿宋_GB2312"/>
          <w:sz w:val="32"/>
          <w:szCs w:val="32"/>
        </w:rPr>
        <w:t>141</w:t>
      </w:r>
      <w:r>
        <w:rPr>
          <w:rFonts w:hint="eastAsia" w:ascii="Times New Roman" w:eastAsia="仿宋_GB2312"/>
          <w:sz w:val="32"/>
          <w:szCs w:val="32"/>
        </w:rPr>
        <w:t>号）、</w:t>
      </w:r>
      <w:r>
        <w:rPr>
          <w:rFonts w:hint="eastAsia" w:ascii="Times New Roman" w:eastAsia="仿宋_GB2312"/>
          <w:sz w:val="32"/>
          <w:szCs w:val="32"/>
          <w:shd w:val="clear" w:color="auto" w:fill="FFFFFF"/>
        </w:rPr>
        <w:t>《江苏省房屋建筑和市政基础设施工程质量监督管理办法》（江苏省政府第</w:t>
      </w:r>
      <w:r>
        <w:rPr>
          <w:rFonts w:ascii="Times New Roman" w:hAnsi="Times New Roman" w:eastAsia="仿宋_GB2312"/>
          <w:sz w:val="32"/>
          <w:szCs w:val="32"/>
          <w:shd w:val="clear" w:color="auto" w:fill="FFFFFF"/>
        </w:rPr>
        <w:t>89</w:t>
      </w:r>
      <w:r>
        <w:rPr>
          <w:rFonts w:hint="eastAsia" w:ascii="Times New Roman" w:eastAsia="仿宋_GB2312"/>
          <w:sz w:val="32"/>
          <w:szCs w:val="32"/>
          <w:shd w:val="clear" w:color="auto" w:fill="FFFFFF"/>
        </w:rPr>
        <w:t>号令）、</w:t>
      </w:r>
      <w:r>
        <w:rPr>
          <w:rFonts w:hint="eastAsia" w:ascii="Times New Roman" w:eastAsia="仿宋_GB2312"/>
          <w:sz w:val="32"/>
          <w:szCs w:val="32"/>
        </w:rPr>
        <w:t>《预拌混凝土》（</w:t>
      </w:r>
      <w:r>
        <w:rPr>
          <w:rFonts w:ascii="Times New Roman" w:hAnsi="Times New Roman" w:eastAsia="仿宋_GB2312"/>
          <w:sz w:val="32"/>
          <w:szCs w:val="32"/>
        </w:rPr>
        <w:t>GB/T 14902-2012</w:t>
      </w:r>
      <w:r>
        <w:rPr>
          <w:rFonts w:hint="eastAsia" w:ascii="Times New Roman" w:eastAsia="仿宋_GB2312"/>
          <w:sz w:val="32"/>
          <w:szCs w:val="32"/>
        </w:rPr>
        <w:t>）等法律法规、规范性文件及相关产品标准。</w:t>
      </w:r>
    </w:p>
    <w:p>
      <w:pPr>
        <w:pStyle w:val="6"/>
        <w:snapToGrid w:val="0"/>
        <w:spacing w:before="0" w:beforeAutospacing="0" w:after="0" w:afterAutospacing="0" w:line="560" w:lineRule="exact"/>
        <w:ind w:firstLine="645"/>
        <w:rPr>
          <w:rFonts w:eastAsia="黑体"/>
          <w:sz w:val="32"/>
          <w:szCs w:val="32"/>
        </w:rPr>
      </w:pPr>
      <w:r>
        <w:rPr>
          <w:rFonts w:hint="eastAsia" w:eastAsia="黑体"/>
          <w:sz w:val="32"/>
          <w:szCs w:val="32"/>
        </w:rPr>
        <w:t>二、检查对象</w:t>
      </w:r>
    </w:p>
    <w:p>
      <w:pPr>
        <w:pStyle w:val="6"/>
        <w:snapToGrid w:val="0"/>
        <w:spacing w:before="0" w:beforeAutospacing="0" w:after="0" w:afterAutospacing="0" w:line="560" w:lineRule="exact"/>
        <w:ind w:firstLine="622" w:firstLineChars="200"/>
        <w:rPr>
          <w:rFonts w:eastAsia="仿宋_GB2312"/>
          <w:sz w:val="32"/>
          <w:szCs w:val="32"/>
        </w:rPr>
      </w:pPr>
      <w:r>
        <w:rPr>
          <w:rFonts w:hint="eastAsia" w:eastAsia="仿宋_GB2312"/>
          <w:sz w:val="32"/>
          <w:szCs w:val="32"/>
        </w:rPr>
        <w:t>全市行政区域内预拌混凝土生产企业。</w:t>
      </w:r>
    </w:p>
    <w:p>
      <w:pPr>
        <w:pStyle w:val="6"/>
        <w:snapToGrid w:val="0"/>
        <w:spacing w:before="0" w:beforeAutospacing="0" w:after="0" w:afterAutospacing="0" w:line="560" w:lineRule="exact"/>
        <w:ind w:firstLine="645"/>
        <w:rPr>
          <w:rFonts w:eastAsia="黑体"/>
          <w:sz w:val="32"/>
          <w:szCs w:val="32"/>
        </w:rPr>
      </w:pPr>
      <w:r>
        <w:rPr>
          <w:rFonts w:hint="eastAsia" w:eastAsia="黑体"/>
          <w:sz w:val="32"/>
          <w:szCs w:val="32"/>
        </w:rPr>
        <w:t>三、检查时间</w:t>
      </w:r>
    </w:p>
    <w:p>
      <w:pPr>
        <w:pStyle w:val="6"/>
        <w:snapToGrid w:val="0"/>
        <w:spacing w:before="0" w:beforeAutospacing="0" w:after="0" w:afterAutospacing="0" w:line="560" w:lineRule="exact"/>
        <w:ind w:firstLine="645"/>
        <w:rPr>
          <w:rFonts w:ascii="Times New Roman" w:hAnsi="Times New Roman" w:eastAsia="仿宋_GB2312"/>
          <w:sz w:val="32"/>
          <w:szCs w:val="32"/>
        </w:rPr>
      </w:pPr>
      <w:r>
        <w:rPr>
          <w:rFonts w:ascii="Times New Roman" w:hAnsi="Times New Roman" w:eastAsia="仿宋_GB2312"/>
          <w:sz w:val="32"/>
          <w:szCs w:val="32"/>
        </w:rPr>
        <w:t>2020</w:t>
      </w:r>
      <w:r>
        <w:rPr>
          <w:rFonts w:hint="eastAsia" w:ascii="Times New Roman" w:eastAsia="仿宋_GB2312"/>
          <w:sz w:val="32"/>
          <w:szCs w:val="32"/>
        </w:rPr>
        <w:t>年</w:t>
      </w:r>
      <w:r>
        <w:rPr>
          <w:rFonts w:ascii="Times New Roman" w:hAnsi="Times New Roman" w:eastAsia="仿宋_GB2312"/>
          <w:sz w:val="32"/>
          <w:szCs w:val="32"/>
        </w:rPr>
        <w:t>7</w:t>
      </w:r>
      <w:r>
        <w:rPr>
          <w:rFonts w:hint="eastAsia" w:ascii="Times New Roman" w:eastAsia="仿宋_GB2312"/>
          <w:sz w:val="32"/>
          <w:szCs w:val="32"/>
        </w:rPr>
        <w:t>月</w:t>
      </w:r>
      <w:r>
        <w:rPr>
          <w:rFonts w:ascii="Times New Roman" w:hAnsi="Times New Roman" w:eastAsia="仿宋_GB2312"/>
          <w:sz w:val="32"/>
          <w:szCs w:val="32"/>
        </w:rPr>
        <w:t>20</w:t>
      </w:r>
      <w:r>
        <w:rPr>
          <w:rFonts w:hint="eastAsia" w:ascii="Times New Roman" w:eastAsia="仿宋_GB2312"/>
          <w:sz w:val="32"/>
          <w:szCs w:val="32"/>
        </w:rPr>
        <w:t>日起</w:t>
      </w:r>
    </w:p>
    <w:p>
      <w:pPr>
        <w:pStyle w:val="6"/>
        <w:snapToGrid w:val="0"/>
        <w:spacing w:before="0" w:beforeAutospacing="0" w:after="0" w:afterAutospacing="0" w:line="560" w:lineRule="exact"/>
        <w:ind w:firstLine="645"/>
        <w:rPr>
          <w:rFonts w:eastAsia="黑体"/>
          <w:sz w:val="32"/>
          <w:szCs w:val="32"/>
        </w:rPr>
      </w:pPr>
      <w:r>
        <w:rPr>
          <w:rFonts w:hint="eastAsia" w:eastAsia="黑体"/>
          <w:sz w:val="32"/>
          <w:szCs w:val="32"/>
        </w:rPr>
        <w:t>四、检查内容</w:t>
      </w:r>
    </w:p>
    <w:p>
      <w:pPr>
        <w:pStyle w:val="6"/>
        <w:snapToGrid w:val="0"/>
        <w:spacing w:before="0" w:beforeAutospacing="0" w:after="0" w:afterAutospacing="0" w:line="560" w:lineRule="exact"/>
        <w:ind w:firstLine="645"/>
        <w:jc w:val="both"/>
        <w:rPr>
          <w:rFonts w:ascii="Times New Roman" w:hAnsi="Times New Roman" w:eastAsia="黑体"/>
          <w:sz w:val="32"/>
          <w:szCs w:val="32"/>
        </w:rPr>
      </w:pPr>
      <w:r>
        <w:rPr>
          <w:rFonts w:hint="eastAsia" w:ascii="Times New Roman" w:eastAsia="仿宋_GB2312"/>
          <w:color w:val="000000"/>
          <w:sz w:val="32"/>
          <w:szCs w:val="32"/>
        </w:rPr>
        <w:t>通过采取查看相关资料及现场抽查等方式，对我市各预拌混凝土生产企业的质量保证体系、原材料和产品质量与控制、企业实验室运行等情况进行检查</w:t>
      </w:r>
      <w:r>
        <w:rPr>
          <w:rFonts w:hint="eastAsia" w:ascii="Times New Roman" w:eastAsia="仿宋_GB2312"/>
          <w:color w:val="333333"/>
          <w:sz w:val="32"/>
          <w:szCs w:val="32"/>
        </w:rPr>
        <w:t>。</w:t>
      </w:r>
    </w:p>
    <w:p>
      <w:pPr>
        <w:pStyle w:val="6"/>
        <w:snapToGrid w:val="0"/>
        <w:spacing w:before="0" w:beforeAutospacing="0" w:after="0" w:afterAutospacing="0" w:line="560" w:lineRule="exact"/>
        <w:ind w:firstLine="467" w:firstLineChars="150"/>
        <w:jc w:val="both"/>
        <w:rPr>
          <w:rFonts w:ascii="Times New Roman" w:hAnsi="Times New Roman" w:eastAsia="仿宋_GB2312"/>
          <w:sz w:val="32"/>
          <w:szCs w:val="32"/>
        </w:rPr>
      </w:pPr>
      <w:r>
        <w:rPr>
          <w:rFonts w:hint="eastAsia" w:ascii="Times New Roman" w:eastAsia="仿宋_GB2312"/>
          <w:sz w:val="32"/>
          <w:szCs w:val="32"/>
        </w:rPr>
        <w:t>（一）清理整顿无预拌混凝土专业承包资质的预拌混凝土企业生产销售行为。</w:t>
      </w:r>
    </w:p>
    <w:p>
      <w:pPr>
        <w:pStyle w:val="6"/>
        <w:snapToGrid w:val="0"/>
        <w:spacing w:before="0" w:beforeAutospacing="0" w:after="0" w:afterAutospacing="0" w:line="560" w:lineRule="exact"/>
        <w:ind w:firstLine="467" w:firstLineChars="150"/>
        <w:jc w:val="both"/>
        <w:rPr>
          <w:rFonts w:ascii="Times New Roman" w:hAnsi="Times New Roman" w:eastAsia="仿宋_GB2312"/>
          <w:sz w:val="32"/>
          <w:szCs w:val="32"/>
        </w:rPr>
      </w:pPr>
      <w:r>
        <w:rPr>
          <w:rFonts w:hint="eastAsia" w:ascii="Times New Roman" w:eastAsia="仿宋_GB2312"/>
          <w:sz w:val="32"/>
          <w:szCs w:val="32"/>
        </w:rPr>
        <w:t>（二）检查有预拌混凝土专业承包资质的预拌混凝土企业的资质、质量管理情况。</w:t>
      </w:r>
    </w:p>
    <w:p>
      <w:pPr>
        <w:pStyle w:val="6"/>
        <w:snapToGrid w:val="0"/>
        <w:spacing w:before="0" w:beforeAutospacing="0" w:after="0" w:afterAutospacing="0" w:line="560" w:lineRule="exact"/>
        <w:ind w:firstLine="622" w:firstLineChars="200"/>
        <w:jc w:val="both"/>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企业技术负责人、实验室负责人是否具备相应职称和执业资格，其他人员数量、社保及用工合同、技术装备是否符合预拌混凝土专业承包资质要求。有无出租、出借或非法转让企业资质证书行为，有无挂靠经营行为等。</w:t>
      </w:r>
    </w:p>
    <w:p>
      <w:pPr>
        <w:pStyle w:val="6"/>
        <w:snapToGrid w:val="0"/>
        <w:spacing w:before="0" w:beforeAutospacing="0" w:after="0" w:afterAutospacing="0" w:line="560" w:lineRule="exact"/>
        <w:ind w:firstLine="622" w:firstLineChars="200"/>
        <w:jc w:val="both"/>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企业质量管理体系是否健全，砂石等原材料采购进货台账、质量证明文件是否齐全，</w:t>
      </w:r>
      <w:r>
        <w:rPr>
          <w:rFonts w:hint="eastAsia" w:ascii="Times New Roman" w:eastAsia="仿宋_GB2312"/>
          <w:sz w:val="32"/>
          <w:szCs w:val="32"/>
        </w:rPr>
        <w:t>实验室台账、配合比实验记录等是否齐全，是否按照标准规范进行砂石等原材料复检复验，有无使用违规海砂等不合格原料行为，是否按照设计配合比搅拌，混凝土出厂检查、试件留置是否符合规范要求，运输质量保证措施是否完善等。</w:t>
      </w:r>
    </w:p>
    <w:p>
      <w:pPr>
        <w:pStyle w:val="6"/>
        <w:shd w:val="clear" w:color="auto" w:fill="FFFFFF"/>
        <w:snapToGrid w:val="0"/>
        <w:spacing w:before="0" w:beforeAutospacing="0" w:after="0" w:afterAutospacing="0" w:line="560" w:lineRule="exact"/>
        <w:ind w:firstLine="622" w:firstLineChars="200"/>
        <w:contextualSpacing/>
        <w:jc w:val="both"/>
        <w:rPr>
          <w:rFonts w:eastAsia="黑体" w:cs="黑体"/>
          <w:sz w:val="32"/>
          <w:szCs w:val="32"/>
          <w:shd w:val="clear" w:color="auto" w:fill="FFFFFF"/>
        </w:rPr>
      </w:pPr>
      <w:r>
        <w:rPr>
          <w:rFonts w:hint="eastAsia" w:eastAsia="黑体" w:cs="黑体"/>
          <w:sz w:val="32"/>
          <w:szCs w:val="32"/>
          <w:shd w:val="clear" w:color="auto" w:fill="FFFFFF"/>
        </w:rPr>
        <w:t>五、工作要求</w:t>
      </w:r>
    </w:p>
    <w:p>
      <w:pPr>
        <w:pStyle w:val="6"/>
        <w:shd w:val="clear" w:color="auto" w:fill="FFFFFF"/>
        <w:snapToGrid w:val="0"/>
        <w:spacing w:before="0" w:beforeAutospacing="0" w:after="0" w:afterAutospacing="0" w:line="560" w:lineRule="exact"/>
        <w:ind w:firstLine="610" w:firstLineChars="196"/>
        <w:contextualSpacing/>
        <w:jc w:val="both"/>
        <w:rPr>
          <w:rFonts w:ascii="Times New Roman" w:hAnsi="Times New Roman" w:eastAsia="仿宋_GB2312"/>
          <w:kern w:val="2"/>
          <w:sz w:val="32"/>
          <w:szCs w:val="32"/>
          <w:shd w:val="clear" w:color="auto" w:fill="FFFFFF"/>
        </w:rPr>
      </w:pPr>
      <w:r>
        <w:rPr>
          <w:rFonts w:ascii="Times New Roman" w:hAnsi="Times New Roman" w:eastAsia="仿宋_GB2312"/>
          <w:sz w:val="32"/>
          <w:szCs w:val="32"/>
          <w:shd w:val="clear" w:color="auto" w:fill="FFFFFF"/>
        </w:rPr>
        <w:t>1.</w:t>
      </w:r>
      <w:r>
        <w:rPr>
          <w:rFonts w:hint="eastAsia" w:ascii="Times New Roman" w:hAnsi="Times New Roman" w:eastAsia="仿宋_GB2312"/>
          <w:sz w:val="32"/>
          <w:szCs w:val="32"/>
          <w:shd w:val="clear" w:color="auto" w:fill="FFFFFF"/>
        </w:rPr>
        <w:t>加强组织领导。各县（区）、功能板块住建部门要高度重视此次专项监督执法检查工作，明确专门机构和人员，按照属地管理的原则，立即部署各预拌混凝土企业对照专项检查内容开展自查，并对自查存在的问题进行整改，建立自查整改台账。</w:t>
      </w:r>
    </w:p>
    <w:p>
      <w:pPr>
        <w:pStyle w:val="6"/>
        <w:shd w:val="clear" w:color="auto" w:fill="FFFFFF"/>
        <w:snapToGrid w:val="0"/>
        <w:spacing w:before="0" w:beforeAutospacing="0" w:after="0" w:afterAutospacing="0" w:line="560" w:lineRule="exact"/>
        <w:ind w:firstLine="630"/>
        <w:contextualSpacing/>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2.</w:t>
      </w:r>
      <w:r>
        <w:rPr>
          <w:rFonts w:hint="eastAsia" w:ascii="Times New Roman" w:hAnsi="Times New Roman" w:eastAsia="仿宋_GB2312"/>
          <w:sz w:val="32"/>
          <w:szCs w:val="32"/>
          <w:shd w:val="clear" w:color="auto" w:fill="FFFFFF"/>
        </w:rPr>
        <w:t>严格执法检查。各预拌混凝土生产企业要密切配合本次监督执法检查工作，落实相关责任人，对相关资料的提供要做到真实准确，不得弄虚作假，对检查中发现的问题，要积极采取措施落实整改，确保工程质量。所有检查结果要有检查人员签字，并建立专项监督执法检查台账。</w:t>
      </w:r>
    </w:p>
    <w:p>
      <w:pPr>
        <w:pStyle w:val="6"/>
        <w:shd w:val="clear" w:color="auto" w:fill="FFFFFF"/>
        <w:snapToGrid w:val="0"/>
        <w:spacing w:before="0" w:beforeAutospacing="0" w:after="0" w:afterAutospacing="0" w:line="560" w:lineRule="exact"/>
        <w:ind w:firstLine="630"/>
        <w:contextualSpacing/>
        <w:jc w:val="both"/>
        <w:rPr>
          <w:rFonts w:ascii="Times New Roman" w:hAnsi="Times New Roman" w:eastAsia="仿宋_GB2312"/>
          <w:b/>
          <w:sz w:val="32"/>
          <w:szCs w:val="32"/>
          <w:shd w:val="clear" w:color="auto" w:fill="FFFFFF"/>
        </w:rPr>
      </w:pPr>
      <w:r>
        <w:rPr>
          <w:rFonts w:ascii="Times New Roman" w:hAnsi="Times New Roman" w:eastAsia="仿宋_GB2312"/>
          <w:sz w:val="32"/>
          <w:szCs w:val="32"/>
          <w:shd w:val="clear" w:color="auto" w:fill="FFFFFF"/>
        </w:rPr>
        <w:t>3.</w:t>
      </w:r>
      <w:r>
        <w:rPr>
          <w:rFonts w:hint="eastAsia" w:ascii="Times New Roman" w:hAnsi="Times New Roman" w:eastAsia="仿宋_GB2312"/>
          <w:sz w:val="32"/>
          <w:szCs w:val="32"/>
          <w:shd w:val="clear" w:color="auto" w:fill="FFFFFF"/>
        </w:rPr>
        <w:t>加大处罚力度。对违反法律法规和有关规定的预拌混凝土生产企业，要依法依规从严查处，采取责令限期改正、罚款、停业整顿等行政措施。另外，对违法违规的企业与个人，要采取记入不良记录、列入“黑名单”、</w:t>
      </w:r>
      <w:r>
        <w:rPr>
          <w:rFonts w:ascii="Times New Roman" w:hAnsi="Times New Roman" w:eastAsia="仿宋_GB2312"/>
          <w:sz w:val="32"/>
          <w:szCs w:val="32"/>
          <w:shd w:val="clear" w:color="auto" w:fill="FFFFFF"/>
        </w:rPr>
        <w:t xml:space="preserve"> </w:t>
      </w:r>
      <w:r>
        <w:rPr>
          <w:rFonts w:hint="eastAsia" w:ascii="Times New Roman" w:hAnsi="Times New Roman" w:eastAsia="仿宋_GB2312"/>
          <w:sz w:val="32"/>
          <w:szCs w:val="32"/>
          <w:shd w:val="clear" w:color="auto" w:fill="FFFFFF"/>
        </w:rPr>
        <w:t>降低信用等级等措施予以处理。相关处罚结果要依法依规向社会公开。</w:t>
      </w:r>
    </w:p>
    <w:p>
      <w:pPr>
        <w:pStyle w:val="6"/>
        <w:shd w:val="clear" w:color="auto" w:fill="FFFFFF"/>
        <w:snapToGrid w:val="0"/>
        <w:spacing w:before="0" w:beforeAutospacing="0" w:after="0" w:afterAutospacing="0" w:line="560" w:lineRule="exact"/>
        <w:ind w:firstLine="630"/>
        <w:contextualSpacing/>
        <w:jc w:val="both"/>
        <w:rPr>
          <w:rFonts w:eastAsia="仿宋_GB2312"/>
          <w:sz w:val="32"/>
          <w:szCs w:val="32"/>
          <w:shd w:val="clear" w:color="auto" w:fill="FFFFFF"/>
        </w:rPr>
      </w:pPr>
    </w:p>
    <w:p>
      <w:pPr>
        <w:pStyle w:val="6"/>
        <w:shd w:val="clear" w:color="auto" w:fill="FFFFFF"/>
        <w:snapToGrid w:val="0"/>
        <w:spacing w:before="0" w:beforeAutospacing="0" w:after="0" w:afterAutospacing="0" w:line="560" w:lineRule="exact"/>
        <w:ind w:firstLine="622" w:firstLineChars="200"/>
        <w:contextualSpacing/>
        <w:jc w:val="both"/>
        <w:rPr>
          <w:rFonts w:ascii="Times New Roman" w:hAnsi="Times New Roman" w:eastAsia="仿宋_GB2312"/>
          <w:sz w:val="32"/>
          <w:szCs w:val="32"/>
          <w:shd w:val="clear" w:color="auto" w:fill="FFFFFF"/>
        </w:rPr>
      </w:pPr>
      <w:r>
        <w:rPr>
          <w:rFonts w:hint="eastAsia" w:ascii="Times New Roman" w:eastAsia="仿宋_GB2312"/>
          <w:sz w:val="32"/>
          <w:szCs w:val="32"/>
          <w:shd w:val="clear" w:color="auto" w:fill="FFFFFF"/>
        </w:rPr>
        <w:t>附件：连云港市预拌混凝土企业生产质量综合检查表</w:t>
      </w:r>
      <w:r>
        <w:rPr>
          <w:rFonts w:ascii="Times New Roman" w:hAnsi="Times New Roman" w:eastAsia="仿宋_GB2312"/>
          <w:sz w:val="32"/>
          <w:szCs w:val="32"/>
        </w:rPr>
        <w:t xml:space="preserve"> </w:t>
      </w:r>
    </w:p>
    <w:p>
      <w:pPr>
        <w:tabs>
          <w:tab w:val="left" w:pos="7638"/>
        </w:tabs>
        <w:spacing w:line="560" w:lineRule="exact"/>
        <w:rPr>
          <w:rFonts w:ascii="Times New Roman" w:hAnsi="Times New Roman" w:eastAsia="仿宋_GB2312"/>
          <w:sz w:val="32"/>
          <w:szCs w:val="32"/>
        </w:rPr>
      </w:pPr>
      <w:r>
        <w:rPr>
          <w:rFonts w:ascii="Times New Roman" w:hAnsi="Times New Roman" w:eastAsia="仿宋_GB2312"/>
          <w:sz w:val="32"/>
          <w:szCs w:val="32"/>
        </w:rPr>
        <w:t xml:space="preserve">                           </w:t>
      </w:r>
    </w:p>
    <w:p>
      <w:pPr>
        <w:tabs>
          <w:tab w:val="left" w:pos="7638"/>
        </w:tabs>
        <w:spacing w:line="560" w:lineRule="exact"/>
        <w:ind w:firstLine="4114" w:firstLineChars="1323"/>
        <w:rPr>
          <w:rFonts w:ascii="Times New Roman" w:eastAsia="仿宋_GB2312"/>
          <w:bCs/>
          <w:sz w:val="32"/>
          <w:szCs w:val="32"/>
        </w:rPr>
      </w:pPr>
    </w:p>
    <w:p>
      <w:pPr>
        <w:tabs>
          <w:tab w:val="left" w:pos="7638"/>
        </w:tabs>
        <w:spacing w:line="560" w:lineRule="exact"/>
        <w:ind w:firstLine="4114" w:firstLineChars="1323"/>
        <w:rPr>
          <w:rFonts w:ascii="Times New Roman" w:hAnsi="Times New Roman" w:eastAsia="仿宋_GB2312"/>
          <w:sz w:val="32"/>
          <w:szCs w:val="32"/>
        </w:rPr>
      </w:pPr>
      <w:r>
        <w:rPr>
          <w:rFonts w:hint="eastAsia" w:ascii="Times New Roman" w:eastAsia="仿宋_GB2312"/>
          <w:bCs/>
          <w:sz w:val="32"/>
          <w:szCs w:val="32"/>
        </w:rPr>
        <w:t>连云港市住房和城乡建设局</w:t>
      </w:r>
    </w:p>
    <w:p>
      <w:pPr>
        <w:spacing w:line="560" w:lineRule="exact"/>
        <w:rPr>
          <w:rFonts w:eastAsia="仿宋_GB2312"/>
          <w:bCs/>
          <w:sz w:val="32"/>
          <w:szCs w:val="32"/>
        </w:rPr>
      </w:pPr>
      <w:r>
        <w:rPr>
          <w:rFonts w:ascii="Times New Roman" w:hAnsi="Times New Roman" w:eastAsia="仿宋_GB2312"/>
          <w:sz w:val="32"/>
          <w:szCs w:val="32"/>
        </w:rPr>
        <w:t xml:space="preserve">                               </w:t>
      </w:r>
      <w:bookmarkStart w:id="3" w:name="signing_date"/>
      <w:r>
        <w:rPr>
          <w:rFonts w:ascii="Times New Roman" w:hAnsi="Times New Roman" w:eastAsia="仿宋_GB2312"/>
          <w:bCs/>
          <w:sz w:val="32"/>
          <w:szCs w:val="32"/>
        </w:rPr>
        <w:t>2020</w:t>
      </w:r>
      <w:r>
        <w:rPr>
          <w:rFonts w:hint="eastAsia" w:ascii="Times New Roman" w:eastAsia="仿宋_GB2312"/>
          <w:bCs/>
          <w:sz w:val="32"/>
          <w:szCs w:val="32"/>
        </w:rPr>
        <w:t>年</w:t>
      </w:r>
      <w:r>
        <w:rPr>
          <w:rFonts w:ascii="Times New Roman" w:hAnsi="Times New Roman" w:eastAsia="仿宋_GB2312"/>
          <w:bCs/>
          <w:sz w:val="32"/>
          <w:szCs w:val="32"/>
        </w:rPr>
        <w:t>7</w:t>
      </w:r>
      <w:r>
        <w:rPr>
          <w:rFonts w:hint="eastAsia" w:ascii="Times New Roman" w:eastAsia="仿宋_GB2312"/>
          <w:bCs/>
          <w:sz w:val="32"/>
          <w:szCs w:val="32"/>
        </w:rPr>
        <w:t>月</w:t>
      </w:r>
      <w:bookmarkEnd w:id="3"/>
      <w:r>
        <w:rPr>
          <w:rFonts w:hint="eastAsia" w:ascii="Times New Roman" w:hAnsi="Times New Roman" w:eastAsia="仿宋_GB2312"/>
          <w:bCs/>
          <w:sz w:val="32"/>
          <w:szCs w:val="32"/>
        </w:rPr>
        <w:t>9</w:t>
      </w:r>
      <w:r>
        <w:rPr>
          <w:rFonts w:hint="eastAsia" w:ascii="Times New Roman" w:eastAsia="仿宋_GB2312"/>
          <w:bCs/>
          <w:sz w:val="32"/>
          <w:szCs w:val="32"/>
        </w:rPr>
        <w:t>日</w:t>
      </w:r>
    </w:p>
    <w:p>
      <w:pPr>
        <w:pBdr>
          <w:top w:val="single" w:color="auto" w:sz="4" w:space="1"/>
          <w:bottom w:val="single" w:color="auto" w:sz="4" w:space="1"/>
        </w:pBdr>
        <w:spacing w:line="560" w:lineRule="exact"/>
        <w:ind w:firstLine="305" w:firstLineChars="98"/>
        <w:rPr>
          <w:rFonts w:eastAsia="仿宋_GB2312"/>
          <w:sz w:val="32"/>
          <w:szCs w:val="32"/>
        </w:rPr>
        <w:sectPr>
          <w:headerReference r:id="rId3" w:type="default"/>
          <w:footerReference r:id="rId4" w:type="default"/>
          <w:footerReference r:id="rId5" w:type="even"/>
          <w:pgSz w:w="11906" w:h="16838"/>
          <w:pgMar w:top="2098" w:right="1474" w:bottom="1985" w:left="1588" w:header="851" w:footer="992" w:gutter="0"/>
          <w:pgNumType w:fmt="numberInDash"/>
          <w:cols w:space="720" w:num="1"/>
          <w:docGrid w:type="linesAndChars" w:linePitch="481" w:charSpace="-1844"/>
        </w:sectPr>
      </w:pPr>
    </w:p>
    <w:p>
      <w:pPr>
        <w:pStyle w:val="6"/>
        <w:shd w:val="clear" w:color="auto" w:fill="FFFFFF"/>
        <w:snapToGrid w:val="0"/>
        <w:spacing w:before="0" w:beforeAutospacing="0" w:after="0" w:afterAutospacing="0" w:line="460" w:lineRule="exact"/>
        <w:contextualSpacing/>
        <w:rPr>
          <w:rFonts w:eastAsia="黑体" w:cs="黑体"/>
          <w:kern w:val="2"/>
          <w:sz w:val="32"/>
          <w:szCs w:val="32"/>
          <w:shd w:val="clear" w:color="auto" w:fill="FFFFFF"/>
        </w:rPr>
      </w:pPr>
      <w:r>
        <w:rPr>
          <w:rFonts w:hint="eastAsia" w:eastAsia="黑体" w:cs="黑体"/>
          <w:kern w:val="2"/>
          <w:sz w:val="32"/>
          <w:szCs w:val="32"/>
          <w:shd w:val="clear" w:color="auto" w:fill="FFFFFF"/>
        </w:rPr>
        <w:t>附件</w:t>
      </w:r>
    </w:p>
    <w:p>
      <w:pPr>
        <w:spacing w:line="460" w:lineRule="exact"/>
        <w:jc w:val="center"/>
        <w:rPr>
          <w:rFonts w:eastAsia="方正小标宋简体" w:cs="方正小标宋简体"/>
          <w:sz w:val="36"/>
          <w:szCs w:val="36"/>
        </w:rPr>
      </w:pPr>
      <w:r>
        <w:rPr>
          <w:rFonts w:hint="eastAsia" w:eastAsia="方正小标宋简体" w:cs="方正小标宋简体"/>
          <w:sz w:val="36"/>
          <w:szCs w:val="36"/>
        </w:rPr>
        <w:t>连云港市预拌混凝土企业生产质量综合检查表</w:t>
      </w:r>
    </w:p>
    <w:tbl>
      <w:tblPr>
        <w:tblStyle w:val="7"/>
        <w:tblpPr w:leftFromText="180" w:rightFromText="180" w:vertAnchor="text" w:horzAnchor="page" w:tblpX="1698" w:tblpY="51"/>
        <w:tblOverlap w:val="never"/>
        <w:tblW w:w="13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3"/>
        <w:gridCol w:w="6662"/>
        <w:gridCol w:w="851"/>
        <w:gridCol w:w="850"/>
        <w:gridCol w:w="851"/>
        <w:gridCol w:w="88"/>
        <w:gridCol w:w="2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2518" w:type="dxa"/>
            <w:gridSpan w:val="2"/>
            <w:vAlign w:val="center"/>
          </w:tcPr>
          <w:p>
            <w:pPr>
              <w:spacing w:line="240" w:lineRule="exact"/>
              <w:jc w:val="center"/>
              <w:rPr>
                <w:rFonts w:ascii="黑体" w:hAnsi="黑体" w:eastAsia="黑体"/>
                <w:sz w:val="22"/>
                <w:szCs w:val="28"/>
              </w:rPr>
            </w:pPr>
            <w:r>
              <w:rPr>
                <w:rFonts w:ascii="黑体" w:hAnsi="黑体" w:eastAsia="黑体"/>
                <w:sz w:val="22"/>
                <w:szCs w:val="28"/>
              </w:rPr>
              <w:t>受 检 单 位</w:t>
            </w:r>
          </w:p>
        </w:tc>
        <w:tc>
          <w:tcPr>
            <w:tcW w:w="6662" w:type="dxa"/>
            <w:vAlign w:val="center"/>
          </w:tcPr>
          <w:p>
            <w:pPr>
              <w:keepNext/>
              <w:keepLines/>
              <w:spacing w:line="240" w:lineRule="exact"/>
              <w:rPr>
                <w:rFonts w:ascii="黑体" w:hAnsi="黑体" w:eastAsia="黑体"/>
                <w:b/>
                <w:bCs/>
                <w:sz w:val="28"/>
                <w:szCs w:val="28"/>
              </w:rPr>
            </w:pPr>
          </w:p>
        </w:tc>
        <w:tc>
          <w:tcPr>
            <w:tcW w:w="2640" w:type="dxa"/>
            <w:gridSpan w:val="4"/>
            <w:vAlign w:val="center"/>
          </w:tcPr>
          <w:p>
            <w:pPr>
              <w:spacing w:line="240" w:lineRule="exact"/>
              <w:jc w:val="center"/>
              <w:rPr>
                <w:rFonts w:ascii="黑体" w:hAnsi="黑体" w:eastAsia="黑体"/>
                <w:sz w:val="22"/>
                <w:szCs w:val="28"/>
              </w:rPr>
            </w:pPr>
            <w:r>
              <w:rPr>
                <w:rFonts w:ascii="黑体" w:hAnsi="黑体" w:eastAsia="黑体"/>
                <w:sz w:val="22"/>
                <w:szCs w:val="28"/>
              </w:rPr>
              <w:t>检查日期</w:t>
            </w:r>
          </w:p>
        </w:tc>
        <w:tc>
          <w:tcPr>
            <w:tcW w:w="2037" w:type="dxa"/>
            <w:vAlign w:val="center"/>
          </w:tcPr>
          <w:p>
            <w:pPr>
              <w:spacing w:line="240" w:lineRule="exact"/>
              <w:rPr>
                <w:rFonts w:ascii="Times New Roman" w:hAnsi="Times New Roman"/>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 w:hRule="atLeast"/>
        </w:trPr>
        <w:tc>
          <w:tcPr>
            <w:tcW w:w="675" w:type="dxa"/>
            <w:vMerge w:val="restart"/>
            <w:vAlign w:val="center"/>
          </w:tcPr>
          <w:p>
            <w:pPr>
              <w:spacing w:line="260" w:lineRule="exact"/>
              <w:jc w:val="center"/>
              <w:rPr>
                <w:rFonts w:ascii="黑体" w:hAnsi="黑体" w:eastAsia="黑体"/>
                <w:sz w:val="22"/>
                <w:szCs w:val="28"/>
              </w:rPr>
            </w:pPr>
            <w:r>
              <w:rPr>
                <w:rFonts w:ascii="黑体" w:hAnsi="黑体" w:eastAsia="黑体"/>
                <w:sz w:val="22"/>
                <w:szCs w:val="28"/>
              </w:rPr>
              <w:t>序</w:t>
            </w:r>
          </w:p>
          <w:p>
            <w:pPr>
              <w:spacing w:line="260" w:lineRule="exact"/>
              <w:jc w:val="center"/>
              <w:rPr>
                <w:rFonts w:ascii="黑体" w:hAnsi="黑体" w:eastAsia="黑体"/>
                <w:sz w:val="22"/>
                <w:szCs w:val="28"/>
              </w:rPr>
            </w:pPr>
            <w:r>
              <w:rPr>
                <w:rFonts w:ascii="黑体" w:hAnsi="黑体" w:eastAsia="黑体"/>
                <w:sz w:val="22"/>
                <w:szCs w:val="28"/>
              </w:rPr>
              <w:t>号</w:t>
            </w:r>
          </w:p>
        </w:tc>
        <w:tc>
          <w:tcPr>
            <w:tcW w:w="1843" w:type="dxa"/>
            <w:vMerge w:val="restart"/>
            <w:vAlign w:val="center"/>
          </w:tcPr>
          <w:p>
            <w:pPr>
              <w:spacing w:line="260" w:lineRule="exact"/>
              <w:jc w:val="center"/>
              <w:rPr>
                <w:rFonts w:ascii="黑体" w:hAnsi="黑体" w:eastAsia="黑体"/>
                <w:sz w:val="22"/>
                <w:szCs w:val="28"/>
              </w:rPr>
            </w:pPr>
            <w:r>
              <w:rPr>
                <w:rFonts w:ascii="黑体" w:hAnsi="黑体" w:eastAsia="黑体"/>
                <w:sz w:val="22"/>
                <w:szCs w:val="28"/>
              </w:rPr>
              <w:t>检查项目</w:t>
            </w:r>
          </w:p>
        </w:tc>
        <w:tc>
          <w:tcPr>
            <w:tcW w:w="6662" w:type="dxa"/>
            <w:vMerge w:val="restart"/>
            <w:vAlign w:val="center"/>
          </w:tcPr>
          <w:p>
            <w:pPr>
              <w:spacing w:line="260" w:lineRule="exact"/>
              <w:jc w:val="center"/>
              <w:rPr>
                <w:rFonts w:ascii="黑体" w:hAnsi="黑体" w:eastAsia="黑体"/>
                <w:sz w:val="22"/>
                <w:szCs w:val="28"/>
              </w:rPr>
            </w:pPr>
            <w:r>
              <w:rPr>
                <w:rFonts w:ascii="黑体" w:hAnsi="黑体" w:eastAsia="黑体"/>
                <w:sz w:val="22"/>
                <w:szCs w:val="28"/>
              </w:rPr>
              <w:t>检查内容</w:t>
            </w:r>
          </w:p>
        </w:tc>
        <w:tc>
          <w:tcPr>
            <w:tcW w:w="4677" w:type="dxa"/>
            <w:gridSpan w:val="5"/>
            <w:vAlign w:val="center"/>
          </w:tcPr>
          <w:p>
            <w:pPr>
              <w:spacing w:line="260" w:lineRule="exact"/>
              <w:jc w:val="center"/>
              <w:rPr>
                <w:rFonts w:ascii="黑体" w:hAnsi="黑体" w:eastAsia="黑体"/>
                <w:sz w:val="22"/>
                <w:szCs w:val="28"/>
              </w:rPr>
            </w:pPr>
            <w:r>
              <w:rPr>
                <w:rFonts w:ascii="黑体" w:hAnsi="黑体" w:eastAsia="黑体"/>
                <w:sz w:val="22"/>
                <w:szCs w:val="2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trPr>
        <w:tc>
          <w:tcPr>
            <w:tcW w:w="675" w:type="dxa"/>
            <w:vMerge w:val="continue"/>
            <w:vAlign w:val="center"/>
          </w:tcPr>
          <w:p>
            <w:pPr>
              <w:keepNext/>
              <w:keepLines/>
              <w:spacing w:before="340" w:after="330" w:line="260" w:lineRule="exact"/>
              <w:jc w:val="center"/>
              <w:rPr>
                <w:rFonts w:ascii="黑体" w:hAnsi="黑体" w:eastAsia="黑体"/>
                <w:sz w:val="22"/>
                <w:szCs w:val="28"/>
              </w:rPr>
            </w:pPr>
          </w:p>
        </w:tc>
        <w:tc>
          <w:tcPr>
            <w:tcW w:w="1843" w:type="dxa"/>
            <w:vMerge w:val="continue"/>
            <w:vAlign w:val="center"/>
          </w:tcPr>
          <w:p>
            <w:pPr>
              <w:keepNext/>
              <w:keepLines/>
              <w:spacing w:before="340" w:after="330" w:line="260" w:lineRule="exact"/>
              <w:jc w:val="center"/>
              <w:rPr>
                <w:rFonts w:ascii="黑体" w:hAnsi="黑体" w:eastAsia="黑体"/>
                <w:sz w:val="22"/>
                <w:szCs w:val="28"/>
              </w:rPr>
            </w:pPr>
          </w:p>
        </w:tc>
        <w:tc>
          <w:tcPr>
            <w:tcW w:w="6662" w:type="dxa"/>
            <w:vMerge w:val="continue"/>
            <w:vAlign w:val="center"/>
          </w:tcPr>
          <w:p>
            <w:pPr>
              <w:keepNext/>
              <w:keepLines/>
              <w:spacing w:before="340" w:after="330" w:line="260" w:lineRule="exact"/>
              <w:jc w:val="center"/>
              <w:rPr>
                <w:rFonts w:ascii="黑体" w:hAnsi="黑体" w:eastAsia="黑体"/>
                <w:sz w:val="22"/>
                <w:szCs w:val="28"/>
              </w:rPr>
            </w:pPr>
          </w:p>
        </w:tc>
        <w:tc>
          <w:tcPr>
            <w:tcW w:w="851" w:type="dxa"/>
            <w:vAlign w:val="center"/>
          </w:tcPr>
          <w:p>
            <w:pPr>
              <w:spacing w:line="260" w:lineRule="exact"/>
              <w:jc w:val="center"/>
              <w:rPr>
                <w:rFonts w:ascii="黑体" w:hAnsi="黑体" w:eastAsia="黑体"/>
                <w:sz w:val="22"/>
                <w:szCs w:val="28"/>
              </w:rPr>
            </w:pPr>
            <w:r>
              <w:rPr>
                <w:rFonts w:ascii="黑体" w:hAnsi="黑体" w:eastAsia="黑体"/>
                <w:sz w:val="22"/>
                <w:szCs w:val="28"/>
              </w:rPr>
              <w:t>符合</w:t>
            </w:r>
          </w:p>
        </w:tc>
        <w:tc>
          <w:tcPr>
            <w:tcW w:w="850" w:type="dxa"/>
            <w:vAlign w:val="center"/>
          </w:tcPr>
          <w:p>
            <w:pPr>
              <w:spacing w:line="260" w:lineRule="exact"/>
              <w:jc w:val="center"/>
              <w:rPr>
                <w:rFonts w:ascii="黑体" w:hAnsi="黑体" w:eastAsia="黑体"/>
                <w:sz w:val="22"/>
                <w:szCs w:val="28"/>
              </w:rPr>
            </w:pPr>
            <w:r>
              <w:rPr>
                <w:rFonts w:ascii="黑体" w:hAnsi="黑体" w:eastAsia="黑体"/>
                <w:sz w:val="22"/>
                <w:szCs w:val="28"/>
              </w:rPr>
              <w:t>基本</w:t>
            </w:r>
          </w:p>
          <w:p>
            <w:pPr>
              <w:spacing w:line="260" w:lineRule="exact"/>
              <w:jc w:val="center"/>
              <w:rPr>
                <w:rFonts w:ascii="黑体" w:hAnsi="黑体" w:eastAsia="黑体"/>
                <w:sz w:val="22"/>
                <w:szCs w:val="28"/>
              </w:rPr>
            </w:pPr>
            <w:r>
              <w:rPr>
                <w:rFonts w:ascii="黑体" w:hAnsi="黑体" w:eastAsia="黑体"/>
                <w:sz w:val="22"/>
                <w:szCs w:val="28"/>
              </w:rPr>
              <w:t>符合</w:t>
            </w:r>
          </w:p>
        </w:tc>
        <w:tc>
          <w:tcPr>
            <w:tcW w:w="851" w:type="dxa"/>
            <w:vAlign w:val="center"/>
          </w:tcPr>
          <w:p>
            <w:pPr>
              <w:spacing w:line="260" w:lineRule="exact"/>
              <w:jc w:val="center"/>
              <w:rPr>
                <w:rFonts w:ascii="黑体" w:hAnsi="黑体" w:eastAsia="黑体"/>
                <w:sz w:val="22"/>
                <w:szCs w:val="28"/>
              </w:rPr>
            </w:pPr>
            <w:r>
              <w:rPr>
                <w:rFonts w:ascii="黑体" w:hAnsi="黑体" w:eastAsia="黑体"/>
                <w:sz w:val="22"/>
                <w:szCs w:val="28"/>
              </w:rPr>
              <w:t>不符合</w:t>
            </w:r>
          </w:p>
        </w:tc>
        <w:tc>
          <w:tcPr>
            <w:tcW w:w="2125" w:type="dxa"/>
            <w:gridSpan w:val="2"/>
            <w:vAlign w:val="center"/>
          </w:tcPr>
          <w:p>
            <w:pPr>
              <w:spacing w:line="260" w:lineRule="exact"/>
              <w:jc w:val="center"/>
              <w:rPr>
                <w:rFonts w:ascii="黑体" w:hAnsi="黑体" w:eastAsia="黑体"/>
                <w:sz w:val="22"/>
                <w:szCs w:val="28"/>
              </w:rPr>
            </w:pPr>
            <w:r>
              <w:rPr>
                <w:rFonts w:ascii="黑体" w:hAnsi="黑体" w:eastAsia="黑体"/>
                <w:sz w:val="22"/>
                <w:szCs w:val="28"/>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675" w:type="dxa"/>
            <w:vMerge w:val="restart"/>
            <w:vAlign w:val="center"/>
          </w:tcPr>
          <w:p>
            <w:pPr>
              <w:spacing w:line="260" w:lineRule="exact"/>
              <w:jc w:val="center"/>
              <w:rPr>
                <w:rFonts w:ascii="Times New Roman" w:hAnsi="Times New Roman" w:eastAsia="仿宋_GB2312"/>
                <w:sz w:val="24"/>
              </w:rPr>
            </w:pPr>
            <w:r>
              <w:rPr>
                <w:rFonts w:ascii="Times New Roman" w:hAnsi="Times New Roman" w:eastAsia="仿宋_GB2312"/>
                <w:sz w:val="24"/>
              </w:rPr>
              <w:t>1</w:t>
            </w:r>
          </w:p>
        </w:tc>
        <w:tc>
          <w:tcPr>
            <w:tcW w:w="1843" w:type="dxa"/>
            <w:vMerge w:val="restart"/>
            <w:vAlign w:val="center"/>
          </w:tcPr>
          <w:p>
            <w:pPr>
              <w:spacing w:line="260" w:lineRule="exact"/>
              <w:rPr>
                <w:rFonts w:ascii="Times New Roman" w:hAnsi="Times New Roman" w:eastAsia="仿宋_GB2312"/>
              </w:rPr>
            </w:pPr>
            <w:r>
              <w:rPr>
                <w:rFonts w:hint="eastAsia" w:ascii="Times New Roman" w:hAnsi="Times New Roman" w:eastAsia="仿宋_GB2312"/>
                <w:b/>
                <w:sz w:val="24"/>
              </w:rPr>
              <w:t>原材料质量控制</w:t>
            </w: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w:t>
            </w:r>
            <w:r>
              <w:rPr>
                <w:rFonts w:hint="eastAsia" w:ascii="Times New Roman" w:hAnsi="Times New Roman" w:eastAsia="仿宋_GB2312"/>
              </w:rPr>
              <w:t>）</w:t>
            </w:r>
            <w:r>
              <w:rPr>
                <w:rFonts w:hint="eastAsia" w:ascii="Times New Roman" w:hAnsi="Times New Roman" w:eastAsia="仿宋_GB2312"/>
                <w:szCs w:val="21"/>
              </w:rPr>
              <w:t>各种原材料进场时应按批次提供质量证明文件（出厂检验报告、合格证及产品说明书）。</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2</w:t>
            </w:r>
            <w:r>
              <w:rPr>
                <w:rFonts w:hint="eastAsia" w:ascii="Times New Roman" w:hAnsi="Times New Roman" w:eastAsia="仿宋_GB2312"/>
              </w:rPr>
              <w:t>）</w:t>
            </w:r>
            <w:r>
              <w:rPr>
                <w:rFonts w:hint="eastAsia" w:ascii="Times New Roman" w:hAnsi="Times New Roman" w:eastAsia="仿宋_GB2312"/>
                <w:szCs w:val="21"/>
              </w:rPr>
              <w:t>应建立《进料台帐》，及时准确地记录原材料进场情况。</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3</w:t>
            </w:r>
            <w:r>
              <w:rPr>
                <w:rFonts w:hint="eastAsia" w:ascii="Times New Roman" w:hAnsi="Times New Roman" w:eastAsia="仿宋_GB2312"/>
              </w:rPr>
              <w:t>）样品留置及处理情况。（是否按照有关标准规范要求进行抽样检验，检验合格后方可使用；是否做好检验样品留样工作，以便进行质量追溯；留样数量及时间是否满足规范要求；留样封存是否注明原材料相关信息且有供应方人员签字确认。）</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4</w:t>
            </w:r>
            <w:r>
              <w:rPr>
                <w:rFonts w:hint="eastAsia" w:ascii="Times New Roman" w:hAnsi="Times New Roman" w:eastAsia="仿宋_GB2312"/>
              </w:rPr>
              <w:t>）采购合同（协议）是否存档。</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5</w:t>
            </w:r>
            <w:r>
              <w:rPr>
                <w:rFonts w:hint="eastAsia" w:ascii="Times New Roman" w:hAnsi="Times New Roman" w:eastAsia="仿宋_GB2312"/>
              </w:rPr>
              <w:t>）是否采购国家和省、市禁止使用的海砂、钢渣制成的砂石等建筑材料。</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6</w:t>
            </w:r>
            <w:r>
              <w:rPr>
                <w:rFonts w:hint="eastAsia" w:ascii="Times New Roman" w:hAnsi="Times New Roman" w:eastAsia="仿宋_GB2312"/>
              </w:rPr>
              <w:t>）是否使用无相关标准的原材料。</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7</w:t>
            </w:r>
            <w:r>
              <w:rPr>
                <w:rFonts w:hint="eastAsia" w:ascii="Times New Roman" w:hAnsi="Times New Roman" w:eastAsia="仿宋_GB2312"/>
              </w:rPr>
              <w:t>）使用新材料或新技术的，是否按现行有关规定进行技术认定或论证。</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8</w:t>
            </w:r>
            <w:r>
              <w:rPr>
                <w:rFonts w:hint="eastAsia" w:ascii="Times New Roman" w:hAnsi="Times New Roman" w:eastAsia="仿宋_GB2312"/>
              </w:rPr>
              <w:t>）水泥是否</w:t>
            </w:r>
            <w:r>
              <w:rPr>
                <w:rFonts w:hint="eastAsia" w:ascii="Times New Roman" w:hAnsi="Times New Roman" w:eastAsia="仿宋_GB2312"/>
                <w:szCs w:val="21"/>
              </w:rPr>
              <w:t>按规范进行自检，并按检验批数的</w:t>
            </w:r>
            <w:r>
              <w:rPr>
                <w:rFonts w:ascii="Times New Roman" w:hAnsi="Times New Roman" w:eastAsia="仿宋_GB2312"/>
                <w:szCs w:val="21"/>
              </w:rPr>
              <w:t>30%</w:t>
            </w:r>
            <w:r>
              <w:rPr>
                <w:rFonts w:hint="eastAsia" w:ascii="Times New Roman" w:hAnsi="Times New Roman" w:eastAsia="仿宋_GB2312"/>
                <w:szCs w:val="21"/>
              </w:rPr>
              <w:t>委托有资质的检测单位检验。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9</w:t>
            </w:r>
            <w:r>
              <w:rPr>
                <w:rFonts w:hint="eastAsia" w:ascii="Times New Roman" w:hAnsi="Times New Roman" w:eastAsia="仿宋_GB2312"/>
              </w:rPr>
              <w:t>）细骨料是否</w:t>
            </w:r>
            <w:r>
              <w:rPr>
                <w:rFonts w:hint="eastAsia" w:ascii="Times New Roman" w:hAnsi="Times New Roman" w:eastAsia="仿宋_GB2312"/>
                <w:szCs w:val="21"/>
              </w:rPr>
              <w:t>按规范进行自检，并按检验批数的</w:t>
            </w:r>
            <w:r>
              <w:rPr>
                <w:rFonts w:ascii="Times New Roman" w:hAnsi="Times New Roman" w:eastAsia="仿宋_GB2312"/>
                <w:szCs w:val="21"/>
              </w:rPr>
              <w:t>30%</w:t>
            </w:r>
            <w:r>
              <w:rPr>
                <w:rFonts w:hint="eastAsia" w:ascii="Times New Roman" w:hAnsi="Times New Roman" w:eastAsia="仿宋_GB2312"/>
                <w:szCs w:val="21"/>
              </w:rPr>
              <w:t>委托有资质的检测单位检验。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10</w:t>
            </w:r>
            <w:r>
              <w:rPr>
                <w:rFonts w:hint="eastAsia" w:ascii="Times New Roman" w:hAnsi="Times New Roman" w:eastAsia="仿宋_GB2312"/>
              </w:rPr>
              <w:t>）粗骨料是否</w:t>
            </w:r>
            <w:r>
              <w:rPr>
                <w:rFonts w:hint="eastAsia" w:ascii="Times New Roman" w:hAnsi="Times New Roman" w:eastAsia="仿宋_GB2312"/>
                <w:szCs w:val="21"/>
              </w:rPr>
              <w:t>按规范进行自检，并按检验批数的</w:t>
            </w:r>
            <w:r>
              <w:rPr>
                <w:rFonts w:ascii="Times New Roman" w:hAnsi="Times New Roman" w:eastAsia="仿宋_GB2312"/>
                <w:szCs w:val="21"/>
              </w:rPr>
              <w:t>30%</w:t>
            </w:r>
            <w:r>
              <w:rPr>
                <w:rFonts w:hint="eastAsia" w:ascii="Times New Roman" w:hAnsi="Times New Roman" w:eastAsia="仿宋_GB2312"/>
                <w:szCs w:val="21"/>
              </w:rPr>
              <w:t>委托有资质的检测单位检验。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11</w:t>
            </w:r>
            <w:r>
              <w:rPr>
                <w:rFonts w:hint="eastAsia" w:ascii="Times New Roman" w:hAnsi="Times New Roman" w:eastAsia="仿宋_GB2312"/>
              </w:rPr>
              <w:t>）矿物掺合料是否</w:t>
            </w:r>
            <w:r>
              <w:rPr>
                <w:rFonts w:hint="eastAsia" w:ascii="Times New Roman" w:hAnsi="Times New Roman" w:eastAsia="仿宋_GB2312"/>
                <w:szCs w:val="21"/>
              </w:rPr>
              <w:t>按规范进行自检，并按检验批数的</w:t>
            </w:r>
            <w:r>
              <w:rPr>
                <w:rFonts w:ascii="Times New Roman" w:hAnsi="Times New Roman" w:eastAsia="仿宋_GB2312"/>
                <w:szCs w:val="21"/>
              </w:rPr>
              <w:t>30%</w:t>
            </w:r>
            <w:r>
              <w:rPr>
                <w:rFonts w:hint="eastAsia" w:ascii="Times New Roman" w:hAnsi="Times New Roman" w:eastAsia="仿宋_GB2312"/>
                <w:szCs w:val="21"/>
              </w:rPr>
              <w:t>委托有资质的检测单位检验。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12</w:t>
            </w:r>
            <w:r>
              <w:rPr>
                <w:rFonts w:hint="eastAsia" w:ascii="Times New Roman" w:hAnsi="Times New Roman" w:eastAsia="仿宋_GB2312"/>
              </w:rPr>
              <w:t>）外加剂是否</w:t>
            </w:r>
            <w:r>
              <w:rPr>
                <w:rFonts w:hint="eastAsia" w:ascii="Times New Roman" w:hAnsi="Times New Roman" w:eastAsia="仿宋_GB2312"/>
                <w:szCs w:val="21"/>
              </w:rPr>
              <w:t>按规范进行自检，并按检验批数的</w:t>
            </w:r>
            <w:r>
              <w:rPr>
                <w:rFonts w:ascii="Times New Roman" w:hAnsi="Times New Roman" w:eastAsia="仿宋_GB2312"/>
                <w:szCs w:val="21"/>
              </w:rPr>
              <w:t>30%</w:t>
            </w:r>
            <w:r>
              <w:rPr>
                <w:rFonts w:hint="eastAsia" w:ascii="Times New Roman" w:hAnsi="Times New Roman" w:eastAsia="仿宋_GB2312"/>
                <w:szCs w:val="21"/>
              </w:rPr>
              <w:t>委托有资质的检测单位检验。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13</w:t>
            </w:r>
            <w:r>
              <w:rPr>
                <w:rFonts w:hint="eastAsia" w:ascii="Times New Roman" w:hAnsi="Times New Roman" w:eastAsia="仿宋_GB2312"/>
              </w:rPr>
              <w:t>）拌和用水是否符合要求，</w:t>
            </w:r>
            <w:r>
              <w:rPr>
                <w:rFonts w:ascii="Times New Roman" w:hAnsi="Times New Roman" w:eastAsia="仿宋_GB2312"/>
              </w:rPr>
              <w:t xml:space="preserve"> </w:t>
            </w:r>
            <w:r>
              <w:rPr>
                <w:rFonts w:hint="eastAsia" w:ascii="Times New Roman" w:hAnsi="Times New Roman" w:eastAsia="仿宋_GB2312"/>
              </w:rPr>
              <w:t>是否进行水质检查</w:t>
            </w:r>
            <w:r>
              <w:rPr>
                <w:rFonts w:hint="eastAsia" w:ascii="Times New Roman" w:hAnsi="Times New Roman" w:eastAsia="仿宋_GB2312"/>
                <w:szCs w:val="21"/>
              </w:rPr>
              <w:t>。</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trPr>
        <w:tc>
          <w:tcPr>
            <w:tcW w:w="675" w:type="dxa"/>
            <w:vMerge w:val="restart"/>
            <w:vAlign w:val="center"/>
          </w:tcPr>
          <w:p>
            <w:pPr>
              <w:spacing w:line="260" w:lineRule="exact"/>
              <w:jc w:val="center"/>
              <w:rPr>
                <w:rFonts w:ascii="Times New Roman" w:hAnsi="Times New Roman" w:eastAsia="仿宋_GB2312"/>
                <w:sz w:val="24"/>
              </w:rPr>
            </w:pPr>
            <w:r>
              <w:rPr>
                <w:rFonts w:ascii="Times New Roman" w:hAnsi="Times New Roman" w:eastAsia="仿宋_GB2312"/>
                <w:sz w:val="24"/>
              </w:rPr>
              <w:t>2</w:t>
            </w:r>
          </w:p>
        </w:tc>
        <w:tc>
          <w:tcPr>
            <w:tcW w:w="1843" w:type="dxa"/>
            <w:vMerge w:val="restart"/>
            <w:vAlign w:val="center"/>
          </w:tcPr>
          <w:p>
            <w:pPr>
              <w:spacing w:line="260" w:lineRule="exact"/>
              <w:rPr>
                <w:rFonts w:ascii="Times New Roman" w:hAnsi="Times New Roman" w:eastAsia="仿宋_GB2312"/>
              </w:rPr>
            </w:pPr>
            <w:r>
              <w:rPr>
                <w:rFonts w:hint="eastAsia" w:ascii="Times New Roman" w:hAnsi="Times New Roman" w:eastAsia="仿宋_GB2312"/>
                <w:b/>
                <w:sz w:val="24"/>
              </w:rPr>
              <w:t>生产控制与管理</w:t>
            </w:r>
          </w:p>
          <w:p>
            <w:pPr>
              <w:spacing w:line="260" w:lineRule="exact"/>
              <w:rPr>
                <w:rFonts w:ascii="Times New Roman" w:hAnsi="Times New Roman" w:eastAsia="仿宋_GB2312"/>
              </w:rPr>
            </w:pPr>
          </w:p>
        </w:tc>
        <w:tc>
          <w:tcPr>
            <w:tcW w:w="6662" w:type="dxa"/>
            <w:vAlign w:val="center"/>
          </w:tcPr>
          <w:p>
            <w:pPr>
              <w:spacing w:line="240" w:lineRule="exact"/>
              <w:rPr>
                <w:rFonts w:ascii="Times New Roman" w:hAnsi="Times New Roman" w:eastAsia="仿宋_GB2312"/>
                <w:color w:val="000000"/>
              </w:rPr>
            </w:pPr>
            <w:r>
              <w:rPr>
                <w:rFonts w:hint="eastAsia" w:ascii="Times New Roman" w:hAnsi="Times New Roman" w:eastAsia="仿宋_GB2312"/>
              </w:rPr>
              <w:t>（</w:t>
            </w:r>
            <w:r>
              <w:rPr>
                <w:rFonts w:ascii="Times New Roman" w:hAnsi="Times New Roman" w:eastAsia="仿宋_GB2312"/>
              </w:rPr>
              <w:t>1</w:t>
            </w:r>
            <w:r>
              <w:rPr>
                <w:rFonts w:hint="eastAsia" w:ascii="Times New Roman" w:hAnsi="Times New Roman" w:eastAsia="仿宋_GB2312"/>
              </w:rPr>
              <w:t>）是否依据相关技术标准与合同要求，进行混凝土配合比设计，</w:t>
            </w:r>
            <w:r>
              <w:rPr>
                <w:rFonts w:hint="eastAsia" w:ascii="Times New Roman" w:hAnsi="Times New Roman" w:eastAsia="仿宋_GB2312"/>
                <w:szCs w:val="21"/>
              </w:rPr>
              <w:t>试配记录是否存在。主要原材料变化是否重新进行配合比设计、试配。</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2</w:t>
            </w:r>
            <w:r>
              <w:rPr>
                <w:rFonts w:hint="eastAsia" w:ascii="Times New Roman" w:hAnsi="Times New Roman" w:eastAsia="仿宋_GB2312"/>
              </w:rPr>
              <w:t>）</w:t>
            </w:r>
            <w:r>
              <w:rPr>
                <w:rFonts w:hint="eastAsia" w:ascii="Times New Roman" w:hAnsi="Times New Roman" w:eastAsia="仿宋_GB2312"/>
                <w:szCs w:val="21"/>
              </w:rPr>
              <w:t>生产配合比中胶凝材料（水泥、粉煤灰、掺合料、外加剂等）用量应与基准配合比中一致。</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3</w:t>
            </w:r>
            <w:r>
              <w:rPr>
                <w:rFonts w:hint="eastAsia" w:ascii="Times New Roman" w:hAnsi="Times New Roman" w:eastAsia="仿宋_GB2312"/>
              </w:rPr>
              <w:t>）配合比通知单及调整单是否经企业技术负责人审定签字后方使用。</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4</w:t>
            </w:r>
            <w:r>
              <w:rPr>
                <w:rFonts w:hint="eastAsia" w:ascii="Times New Roman" w:hAnsi="Times New Roman" w:eastAsia="仿宋_GB2312"/>
              </w:rPr>
              <w:t>）是否按规范进行了砂、石含水率测定。</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5</w:t>
            </w:r>
            <w:r>
              <w:rPr>
                <w:rFonts w:hint="eastAsia" w:ascii="Times New Roman" w:hAnsi="Times New Roman" w:eastAsia="仿宋_GB2312"/>
              </w:rPr>
              <w:t>）</w:t>
            </w:r>
            <w:r>
              <w:rPr>
                <w:rFonts w:hint="eastAsia" w:ascii="Times New Roman" w:hAnsi="Times New Roman" w:eastAsia="仿宋_GB2312"/>
                <w:szCs w:val="21"/>
              </w:rPr>
              <w:t>衡器应按规定由法定计量部门按规定期限进行检定，并取得检定证书。</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6</w:t>
            </w:r>
            <w:r>
              <w:rPr>
                <w:rFonts w:hint="eastAsia" w:ascii="Times New Roman" w:hAnsi="Times New Roman" w:eastAsia="仿宋_GB2312"/>
              </w:rPr>
              <w:t>）每次班前应做好配料系统的计量检查以及零点复位检查，定期进行衡器自校准工作（每月至少一次），并作好相应记录。</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7</w:t>
            </w:r>
            <w:r>
              <w:rPr>
                <w:rFonts w:hint="eastAsia" w:ascii="Times New Roman" w:hAnsi="Times New Roman" w:eastAsia="仿宋_GB2312"/>
              </w:rPr>
              <w:t>）电脑配料，能逐盘记录实际计量情况，且能保存</w:t>
            </w:r>
            <w:r>
              <w:rPr>
                <w:rFonts w:ascii="Times New Roman" w:hAnsi="Times New Roman" w:eastAsia="仿宋_GB2312"/>
              </w:rPr>
              <w:t xml:space="preserve">3 </w:t>
            </w:r>
            <w:r>
              <w:rPr>
                <w:rFonts w:hint="eastAsia" w:ascii="Times New Roman" w:hAnsi="Times New Roman" w:eastAsia="仿宋_GB2312"/>
              </w:rPr>
              <w:t>个月以上有维护和保养记录，</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8</w:t>
            </w:r>
            <w:r>
              <w:rPr>
                <w:rFonts w:hint="eastAsia" w:ascii="Times New Roman" w:hAnsi="Times New Roman" w:eastAsia="仿宋_GB2312"/>
              </w:rPr>
              <w:t>）是否建立了生产台帐，并如实反映生产情况。</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9</w:t>
            </w:r>
            <w:r>
              <w:rPr>
                <w:rFonts w:hint="eastAsia" w:ascii="Times New Roman" w:hAnsi="Times New Roman" w:eastAsia="仿宋_GB2312"/>
              </w:rPr>
              <w:t>）生产企业是否建立不合格原材料和混凝土产品的管理制度，相关台帐齐全。</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675" w:type="dxa"/>
            <w:vMerge w:val="restart"/>
            <w:vAlign w:val="center"/>
          </w:tcPr>
          <w:p>
            <w:pPr>
              <w:spacing w:line="260" w:lineRule="exact"/>
              <w:jc w:val="center"/>
              <w:rPr>
                <w:rFonts w:ascii="Times New Roman" w:hAnsi="Times New Roman" w:eastAsia="仿宋_GB2312"/>
                <w:sz w:val="24"/>
              </w:rPr>
            </w:pPr>
            <w:r>
              <w:rPr>
                <w:rFonts w:ascii="Times New Roman" w:hAnsi="Times New Roman" w:eastAsia="仿宋_GB2312"/>
                <w:sz w:val="24"/>
              </w:rPr>
              <w:t>3</w:t>
            </w:r>
          </w:p>
        </w:tc>
        <w:tc>
          <w:tcPr>
            <w:tcW w:w="1843" w:type="dxa"/>
            <w:vMerge w:val="restart"/>
            <w:vAlign w:val="center"/>
          </w:tcPr>
          <w:p>
            <w:pPr>
              <w:spacing w:line="260" w:lineRule="exact"/>
              <w:jc w:val="center"/>
              <w:rPr>
                <w:rFonts w:ascii="Times New Roman" w:hAnsi="Times New Roman" w:eastAsia="仿宋_GB2312"/>
                <w:b/>
                <w:sz w:val="24"/>
              </w:rPr>
            </w:pPr>
            <w:r>
              <w:rPr>
                <w:rFonts w:hint="eastAsia" w:ascii="Times New Roman" w:hAnsi="Times New Roman" w:eastAsia="仿宋_GB2312"/>
                <w:b/>
                <w:sz w:val="24"/>
              </w:rPr>
              <w:t>出厂检验管理</w:t>
            </w: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1</w:t>
            </w:r>
            <w:r>
              <w:rPr>
                <w:rFonts w:hint="eastAsia" w:ascii="Times New Roman" w:hAnsi="Times New Roman" w:eastAsia="仿宋_GB2312"/>
              </w:rPr>
              <w:t>）</w:t>
            </w:r>
            <w:r>
              <w:rPr>
                <w:rFonts w:hint="eastAsia" w:ascii="Times New Roman" w:hAnsi="Times New Roman" w:eastAsia="仿宋_GB2312"/>
                <w:spacing w:val="-4"/>
                <w:szCs w:val="21"/>
              </w:rPr>
              <w:t>对不同品种、不同等级、不同和易性的混凝土拌合物均以每</w:t>
            </w:r>
            <w:r>
              <w:rPr>
                <w:rFonts w:ascii="Times New Roman" w:hAnsi="Times New Roman" w:eastAsia="仿宋_GB2312"/>
                <w:spacing w:val="-4"/>
                <w:szCs w:val="21"/>
              </w:rPr>
              <w:t>100</w:t>
            </w:r>
            <w:r>
              <w:rPr>
                <w:rFonts w:hint="eastAsia" w:ascii="Times New Roman" w:hAnsi="Times New Roman" w:eastAsia="仿宋_GB2312"/>
                <w:spacing w:val="-4"/>
                <w:szCs w:val="21"/>
              </w:rPr>
              <w:t>盘混凝土至少检验一次，对一个工作班内不足</w:t>
            </w:r>
            <w:r>
              <w:rPr>
                <w:rFonts w:ascii="Times New Roman" w:hAnsi="Times New Roman" w:eastAsia="仿宋_GB2312"/>
                <w:spacing w:val="-4"/>
                <w:szCs w:val="21"/>
              </w:rPr>
              <w:t>100</w:t>
            </w:r>
            <w:r>
              <w:rPr>
                <w:rFonts w:hint="eastAsia" w:ascii="Times New Roman" w:hAnsi="Times New Roman" w:eastAsia="仿宋_GB2312"/>
                <w:spacing w:val="-4"/>
                <w:szCs w:val="21"/>
              </w:rPr>
              <w:t>盘时也应检验一次。</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2</w:t>
            </w:r>
            <w:r>
              <w:rPr>
                <w:rFonts w:hint="eastAsia" w:ascii="Times New Roman" w:hAnsi="Times New Roman" w:eastAsia="仿宋_GB2312"/>
              </w:rPr>
              <w:t>）</w:t>
            </w:r>
            <w:r>
              <w:rPr>
                <w:rFonts w:hint="eastAsia" w:ascii="Times New Roman" w:hAnsi="Times New Roman" w:eastAsia="仿宋_GB2312"/>
                <w:spacing w:val="-4"/>
                <w:szCs w:val="21"/>
              </w:rPr>
              <w:t>出厂检验台账规范，应包含</w:t>
            </w:r>
            <w:r>
              <w:rPr>
                <w:rFonts w:hint="eastAsia" w:ascii="Times New Roman" w:hAnsi="Times New Roman" w:eastAsia="仿宋_GB2312"/>
                <w:spacing w:val="-4"/>
                <w:szCs w:val="21"/>
                <w:u w:val="single"/>
              </w:rPr>
              <w:t>样品编号</w:t>
            </w:r>
            <w:r>
              <w:rPr>
                <w:rFonts w:hint="eastAsia" w:ascii="Times New Roman" w:hAnsi="Times New Roman" w:eastAsia="仿宋_GB2312"/>
                <w:spacing w:val="-4"/>
                <w:szCs w:val="21"/>
              </w:rPr>
              <w:t>、生产时间、强度等级、数量、使用部位、检验结果</w:t>
            </w:r>
            <w:r>
              <w:rPr>
                <w:rFonts w:hint="eastAsia" w:ascii="Times New Roman" w:hAnsi="Times New Roman" w:eastAsia="仿宋_GB2312"/>
                <w:spacing w:val="-4"/>
                <w:szCs w:val="21"/>
                <w:u w:val="single"/>
              </w:rPr>
              <w:t>（强度和坍落度）</w:t>
            </w:r>
            <w:r>
              <w:rPr>
                <w:rFonts w:hint="eastAsia" w:ascii="Times New Roman" w:hAnsi="Times New Roman" w:eastAsia="仿宋_GB2312"/>
                <w:spacing w:val="-4"/>
                <w:szCs w:val="21"/>
              </w:rPr>
              <w:t>等信息。</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3</w:t>
            </w:r>
            <w:r>
              <w:rPr>
                <w:rFonts w:hint="eastAsia" w:ascii="Times New Roman" w:hAnsi="Times New Roman" w:eastAsia="仿宋_GB2312"/>
              </w:rPr>
              <w:t>）</w:t>
            </w:r>
            <w:r>
              <w:rPr>
                <w:rFonts w:hint="eastAsia" w:ascii="Times New Roman" w:hAnsi="Times New Roman" w:eastAsia="仿宋_GB2312"/>
                <w:spacing w:val="-4"/>
                <w:szCs w:val="21"/>
              </w:rPr>
              <w:t>出厂检验的混凝土强度试件（包括：抗压、抗折、抗渗）是否标识清楚、编号连续、唯一。定期对混凝土强度进行统计分析。</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pacing w:val="-4"/>
                <w:szCs w:val="21"/>
              </w:rPr>
            </w:pPr>
            <w:r>
              <w:rPr>
                <w:rFonts w:hint="eastAsia" w:ascii="Times New Roman" w:hAnsi="Times New Roman" w:eastAsia="仿宋_GB2312"/>
              </w:rPr>
              <w:t>（</w:t>
            </w:r>
            <w:r>
              <w:rPr>
                <w:rFonts w:ascii="Times New Roman" w:hAnsi="Times New Roman" w:eastAsia="仿宋_GB2312"/>
              </w:rPr>
              <w:t>4</w:t>
            </w:r>
            <w:r>
              <w:rPr>
                <w:rFonts w:hint="eastAsia" w:ascii="Times New Roman" w:hAnsi="Times New Roman" w:eastAsia="仿宋_GB2312"/>
              </w:rPr>
              <w:t>）</w:t>
            </w:r>
            <w:r>
              <w:rPr>
                <w:rFonts w:hint="eastAsia" w:ascii="Times New Roman" w:hAnsi="Times New Roman" w:eastAsia="仿宋_GB2312"/>
                <w:spacing w:val="-4"/>
                <w:szCs w:val="21"/>
              </w:rPr>
              <w:t>是否留置无标识的试件或者为使用方代做试件。</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Merge w:val="continue"/>
            <w:vAlign w:val="center"/>
          </w:tcPr>
          <w:p>
            <w:pPr>
              <w:spacing w:line="260" w:lineRule="exact"/>
              <w:jc w:val="center"/>
              <w:rPr>
                <w:rFonts w:ascii="Times New Roman" w:hAnsi="Times New Roman" w:eastAsia="仿宋_GB2312"/>
                <w:szCs w:val="21"/>
              </w:rPr>
            </w:pPr>
          </w:p>
        </w:tc>
        <w:tc>
          <w:tcPr>
            <w:tcW w:w="1843" w:type="dxa"/>
            <w:vMerge w:val="continue"/>
            <w:vAlign w:val="center"/>
          </w:tcPr>
          <w:p>
            <w:pPr>
              <w:spacing w:line="26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5</w:t>
            </w:r>
            <w:r>
              <w:rPr>
                <w:rFonts w:hint="eastAsia" w:ascii="Times New Roman" w:hAnsi="Times New Roman" w:eastAsia="仿宋_GB2312"/>
              </w:rPr>
              <w:t>）到期的试块强度抽查是否符合要求。</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675" w:type="dxa"/>
            <w:vMerge w:val="restart"/>
            <w:vAlign w:val="center"/>
          </w:tcPr>
          <w:p>
            <w:pPr>
              <w:spacing w:line="260" w:lineRule="exact"/>
              <w:jc w:val="center"/>
              <w:rPr>
                <w:rFonts w:ascii="Times New Roman" w:hAnsi="Times New Roman" w:eastAsia="仿宋_GB2312"/>
                <w:sz w:val="24"/>
              </w:rPr>
            </w:pPr>
            <w:r>
              <w:rPr>
                <w:rFonts w:ascii="Times New Roman" w:hAnsi="Times New Roman" w:eastAsia="仿宋_GB2312"/>
                <w:sz w:val="24"/>
              </w:rPr>
              <w:t>4</w:t>
            </w:r>
          </w:p>
        </w:tc>
        <w:tc>
          <w:tcPr>
            <w:tcW w:w="1843" w:type="dxa"/>
            <w:vMerge w:val="restart"/>
            <w:vAlign w:val="center"/>
          </w:tcPr>
          <w:p>
            <w:pPr>
              <w:spacing w:line="240" w:lineRule="exact"/>
              <w:jc w:val="center"/>
              <w:rPr>
                <w:rFonts w:ascii="Times New Roman" w:hAnsi="Times New Roman" w:eastAsia="仿宋_GB2312"/>
              </w:rPr>
            </w:pPr>
            <w:r>
              <w:rPr>
                <w:rFonts w:hint="eastAsia" w:ascii="Times New Roman" w:hAnsi="Times New Roman" w:eastAsia="仿宋_GB2312"/>
                <w:b/>
                <w:sz w:val="24"/>
              </w:rPr>
              <w:t>试验室管理</w:t>
            </w: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1</w:t>
            </w:r>
            <w:r>
              <w:rPr>
                <w:rFonts w:hint="eastAsia" w:ascii="Times New Roman" w:hAnsi="Times New Roman" w:eastAsia="仿宋_GB2312"/>
              </w:rPr>
              <w:t>）</w:t>
            </w:r>
            <w:r>
              <w:rPr>
                <w:rFonts w:hint="eastAsia" w:ascii="Times New Roman" w:hAnsi="Times New Roman" w:eastAsia="仿宋_GB2312"/>
                <w:szCs w:val="21"/>
              </w:rPr>
              <w:t>试验室应建立相应的质量管理体系及相应人员岗位责任制，并形成相应制度文件。</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2</w:t>
            </w:r>
            <w:r>
              <w:rPr>
                <w:rFonts w:hint="eastAsia" w:ascii="Times New Roman" w:hAnsi="Times New Roman" w:eastAsia="仿宋_GB2312"/>
              </w:rPr>
              <w:t>）</w:t>
            </w:r>
            <w:r>
              <w:rPr>
                <w:rFonts w:hint="eastAsia" w:ascii="Times New Roman" w:hAnsi="Times New Roman" w:eastAsia="仿宋_GB2312"/>
                <w:szCs w:val="21"/>
              </w:rPr>
              <w:t>水泥室、标准养护箱、混凝土养护室、混凝土试配室（含外加剂）的温湿度控制均应符合相关标准规范的要求。</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3</w:t>
            </w:r>
            <w:r>
              <w:rPr>
                <w:rFonts w:hint="eastAsia" w:ascii="Times New Roman" w:hAnsi="Times New Roman" w:eastAsia="仿宋_GB2312"/>
              </w:rPr>
              <w:t>）</w:t>
            </w:r>
            <w:r>
              <w:rPr>
                <w:rFonts w:hint="eastAsia" w:ascii="Times New Roman" w:hAnsi="Times New Roman" w:eastAsia="仿宋_GB2312"/>
                <w:szCs w:val="21"/>
              </w:rPr>
              <w:t>应设置独立的混凝土试配室（含外加剂）、力学检测室、留样室、养护室、水泥室，且各区域之间应相互不影响。</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szCs w:val="21"/>
              </w:rPr>
            </w:pPr>
            <w:r>
              <w:rPr>
                <w:rFonts w:hint="eastAsia" w:ascii="Times New Roman" w:hAnsi="Times New Roman" w:eastAsia="仿宋_GB2312"/>
              </w:rPr>
              <w:t>（</w:t>
            </w:r>
            <w:r>
              <w:rPr>
                <w:rFonts w:ascii="Times New Roman" w:hAnsi="Times New Roman" w:eastAsia="仿宋_GB2312"/>
              </w:rPr>
              <w:t>4</w:t>
            </w:r>
            <w:r>
              <w:rPr>
                <w:rFonts w:hint="eastAsia" w:ascii="Times New Roman" w:hAnsi="Times New Roman" w:eastAsia="仿宋_GB2312"/>
              </w:rPr>
              <w:t>）</w:t>
            </w:r>
            <w:r>
              <w:rPr>
                <w:rFonts w:hint="eastAsia" w:ascii="Times New Roman" w:hAnsi="Times New Roman" w:eastAsia="仿宋_GB2312"/>
                <w:szCs w:val="21"/>
              </w:rPr>
              <w:t>试验室应建立仪器设备台账和档案，按规定由法定计量部门按规定期限进行检定，并取得检定证书。</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5</w:t>
            </w:r>
            <w:r>
              <w:rPr>
                <w:rFonts w:hint="eastAsia" w:ascii="Times New Roman" w:hAnsi="Times New Roman" w:eastAsia="仿宋_GB2312"/>
              </w:rPr>
              <w:t>）</w:t>
            </w:r>
            <w:r>
              <w:rPr>
                <w:rFonts w:hint="eastAsia" w:ascii="Times New Roman" w:hAnsi="Times New Roman" w:eastAsia="仿宋_GB2312"/>
                <w:szCs w:val="21"/>
              </w:rPr>
              <w:t>原始记录、检验报告等检测资料统一分类、编号，编号是否连续，无随意抽撤、涂改。</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6</w:t>
            </w:r>
            <w:r>
              <w:rPr>
                <w:rFonts w:hint="eastAsia" w:ascii="Times New Roman" w:hAnsi="Times New Roman" w:eastAsia="仿宋_GB2312"/>
              </w:rPr>
              <w:t>）</w:t>
            </w:r>
            <w:r>
              <w:rPr>
                <w:rFonts w:hint="eastAsia" w:ascii="Times New Roman" w:hAnsi="Times New Roman" w:eastAsia="仿宋_GB2312"/>
                <w:szCs w:val="21"/>
              </w:rPr>
              <w:t>试样、试块送有见证取样检测资格的第三方检验检测机构进行比对试验。</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7</w:t>
            </w:r>
            <w:r>
              <w:rPr>
                <w:rFonts w:hint="eastAsia" w:ascii="Times New Roman" w:hAnsi="Times New Roman" w:eastAsia="仿宋_GB2312"/>
              </w:rPr>
              <w:t>）</w:t>
            </w:r>
            <w:r>
              <w:rPr>
                <w:rFonts w:hint="eastAsia" w:ascii="Times New Roman" w:hAnsi="Times New Roman" w:eastAsia="仿宋_GB2312"/>
                <w:szCs w:val="21"/>
              </w:rPr>
              <w:t>试验室不能检测的原材料项目或性能指标，是否委托具有建设行业资质的第三方检测机构进行检测。</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675" w:type="dxa"/>
            <w:vMerge w:val="continue"/>
            <w:vAlign w:val="center"/>
          </w:tcPr>
          <w:p>
            <w:pPr>
              <w:spacing w:line="260" w:lineRule="exact"/>
              <w:rPr>
                <w:rFonts w:ascii="Times New Roman" w:hAnsi="Times New Roman" w:eastAsia="仿宋_GB2312"/>
                <w:sz w:val="20"/>
                <w:szCs w:val="20"/>
              </w:rPr>
            </w:pPr>
          </w:p>
        </w:tc>
        <w:tc>
          <w:tcPr>
            <w:tcW w:w="1843" w:type="dxa"/>
            <w:vMerge w:val="continue"/>
            <w:vAlign w:val="center"/>
          </w:tcPr>
          <w:p>
            <w:pPr>
              <w:spacing w:line="240" w:lineRule="exact"/>
              <w:rPr>
                <w:rFonts w:ascii="Times New Roman" w:hAnsi="Times New Roman" w:eastAsia="仿宋_GB2312"/>
                <w:sz w:val="20"/>
                <w:szCs w:val="20"/>
              </w:rPr>
            </w:pPr>
          </w:p>
        </w:tc>
        <w:tc>
          <w:tcPr>
            <w:tcW w:w="6662" w:type="dxa"/>
            <w:vAlign w:val="center"/>
          </w:tcPr>
          <w:p>
            <w:pPr>
              <w:spacing w:line="240" w:lineRule="exact"/>
              <w:rPr>
                <w:rFonts w:ascii="Times New Roman" w:hAnsi="Times New Roman" w:eastAsia="仿宋_GB2312"/>
              </w:rPr>
            </w:pPr>
            <w:r>
              <w:rPr>
                <w:rFonts w:hint="eastAsia" w:ascii="Times New Roman" w:hAnsi="Times New Roman" w:eastAsia="仿宋_GB2312"/>
              </w:rPr>
              <w:t>（</w:t>
            </w:r>
            <w:r>
              <w:rPr>
                <w:rFonts w:ascii="Times New Roman" w:hAnsi="Times New Roman" w:eastAsia="仿宋_GB2312"/>
              </w:rPr>
              <w:t>8</w:t>
            </w:r>
            <w:r>
              <w:rPr>
                <w:rFonts w:hint="eastAsia" w:ascii="Times New Roman" w:hAnsi="Times New Roman" w:eastAsia="仿宋_GB2312"/>
              </w:rPr>
              <w:t>）</w:t>
            </w:r>
            <w:r>
              <w:rPr>
                <w:rFonts w:hint="eastAsia" w:ascii="Times New Roman" w:hAnsi="Times New Roman" w:eastAsia="仿宋_GB2312"/>
                <w:szCs w:val="21"/>
              </w:rPr>
              <w:t>试验室应是否正常运行，是否存在弄虚作假行为。</w:t>
            </w:r>
          </w:p>
        </w:tc>
        <w:tc>
          <w:tcPr>
            <w:tcW w:w="851" w:type="dxa"/>
            <w:vAlign w:val="center"/>
          </w:tcPr>
          <w:p>
            <w:pPr>
              <w:spacing w:line="260" w:lineRule="exact"/>
              <w:rPr>
                <w:rFonts w:ascii="Times New Roman" w:hAnsi="Times New Roman" w:eastAsia="仿宋"/>
              </w:rPr>
            </w:pPr>
          </w:p>
        </w:tc>
        <w:tc>
          <w:tcPr>
            <w:tcW w:w="850" w:type="dxa"/>
            <w:vAlign w:val="center"/>
          </w:tcPr>
          <w:p>
            <w:pPr>
              <w:spacing w:line="260" w:lineRule="exact"/>
              <w:rPr>
                <w:rFonts w:ascii="Times New Roman" w:hAnsi="Times New Roman" w:eastAsia="仿宋"/>
              </w:rPr>
            </w:pPr>
          </w:p>
        </w:tc>
        <w:tc>
          <w:tcPr>
            <w:tcW w:w="851" w:type="dxa"/>
            <w:vAlign w:val="center"/>
          </w:tcPr>
          <w:p>
            <w:pPr>
              <w:spacing w:line="260" w:lineRule="exact"/>
              <w:rPr>
                <w:rFonts w:ascii="Times New Roman" w:hAnsi="Times New Roman" w:eastAsia="仿宋"/>
              </w:rPr>
            </w:pPr>
          </w:p>
        </w:tc>
        <w:tc>
          <w:tcPr>
            <w:tcW w:w="2125" w:type="dxa"/>
            <w:gridSpan w:val="2"/>
            <w:vAlign w:val="center"/>
          </w:tcPr>
          <w:p>
            <w:pPr>
              <w:spacing w:line="260" w:lineRule="exact"/>
              <w:rPr>
                <w:rFonts w:ascii="Times New Roman" w:hAnsi="Times New Roman" w:eastAsia="仿宋"/>
              </w:rPr>
            </w:pPr>
          </w:p>
        </w:tc>
      </w:tr>
    </w:tbl>
    <w:p>
      <w:pPr>
        <w:spacing w:line="480" w:lineRule="auto"/>
        <w:rPr>
          <w:rFonts w:ascii="Times New Roman" w:hAnsi="Times New Roman" w:eastAsia="仿宋_GB2312"/>
          <w:sz w:val="28"/>
          <w:szCs w:val="28"/>
        </w:rPr>
      </w:pPr>
      <w:r>
        <w:rPr>
          <w:rFonts w:hint="eastAsia" w:ascii="Times New Roman" w:hAnsi="Times New Roman" w:eastAsia="仿宋_GB2312"/>
          <w:sz w:val="28"/>
          <w:szCs w:val="28"/>
        </w:rPr>
        <w:t>企业负责人签字：</w:t>
      </w:r>
      <w:r>
        <w:rPr>
          <w:rFonts w:ascii="Times New Roman" w:hAnsi="Times New Roman" w:eastAsia="仿宋_GB2312"/>
          <w:sz w:val="28"/>
          <w:szCs w:val="28"/>
        </w:rPr>
        <w:t xml:space="preserve">                                         </w:t>
      </w:r>
      <w:r>
        <w:rPr>
          <w:rFonts w:hint="eastAsia" w:ascii="Times New Roman" w:hAnsi="Times New Roman" w:eastAsia="仿宋_GB2312"/>
          <w:sz w:val="28"/>
          <w:szCs w:val="28"/>
        </w:rPr>
        <w:t>试验室主任签字：</w:t>
      </w:r>
      <w:r>
        <w:rPr>
          <w:rFonts w:ascii="Times New Roman" w:hAnsi="Times New Roman" w:eastAsia="仿宋_GB2312"/>
          <w:sz w:val="28"/>
          <w:szCs w:val="28"/>
        </w:rPr>
        <w:t xml:space="preserve">                   </w:t>
      </w:r>
    </w:p>
    <w:p>
      <w:pPr>
        <w:spacing w:line="480" w:lineRule="auto"/>
        <w:rPr>
          <w:rFonts w:ascii="Times New Roman" w:hAnsi="Times New Roman"/>
          <w:sz w:val="44"/>
          <w:szCs w:val="44"/>
        </w:rPr>
      </w:pPr>
      <w:r>
        <w:rPr>
          <w:rFonts w:hint="eastAsia" w:ascii="Times New Roman" w:hAnsi="Times New Roman" w:eastAsia="仿宋_GB2312"/>
          <w:sz w:val="28"/>
          <w:szCs w:val="28"/>
        </w:rPr>
        <w:t>检查人员签字：</w:t>
      </w:r>
      <w:r>
        <w:rPr>
          <w:rFonts w:ascii="Times New Roman" w:hAnsi="Times New Roman" w:eastAsia="仿宋_GB2312"/>
          <w:b/>
          <w:bCs/>
          <w:sz w:val="32"/>
          <w:szCs w:val="32"/>
        </w:rP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-13439775</wp:posOffset>
                </wp:positionV>
                <wp:extent cx="5572125" cy="635"/>
                <wp:effectExtent l="0" t="0" r="0" b="0"/>
                <wp:wrapNone/>
                <wp:docPr id="3" name="直线 5"/>
                <wp:cNvGraphicFramePr/>
                <a:graphic xmlns:a="http://schemas.openxmlformats.org/drawingml/2006/main">
                  <a:graphicData uri="http://schemas.microsoft.com/office/word/2010/wordprocessingShape">
                    <wps:wsp>
                      <wps:cNvSpPr/>
                      <wps:spPr>
                        <a:xfrm>
                          <a:off x="0" y="0"/>
                          <a:ext cx="557212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2.25pt;margin-top:-1058.25pt;height:0.05pt;width:438.75pt;z-index:251662336;mso-width-relative:page;mso-height-relative:page;" filled="f" stroked="t" coordsize="21600,21600" o:gfxdata="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hJsbd2QAAAA0BAAAPAAAAAAAAAAEAIAAAACIA&#10;AABkcnMvZG93bnJldi54bWxQSwECFAAUAAAACACHTuJAxjBn2c8BAACPAwAADgAAAAAAAAABACAA&#10;AAAoAQAAZHJzL2Uyb0RvYy54bWxQSwUGAAAAAAYABgBZAQAAaQUAAAAA&#10;">
                <v:fill on="f" focussize="0,0"/>
                <v:stroke color="#000000" joinstyle="round"/>
                <v:imagedata o:title=""/>
                <o:lock v:ext="edit" aspectratio="f"/>
              </v:line>
            </w:pict>
          </mc:Fallback>
        </mc:AlternateContent>
      </w: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pBdr>
          <w:top w:val="single" w:color="auto" w:sz="4" w:space="1"/>
          <w:bottom w:val="single" w:color="auto" w:sz="4" w:space="1"/>
        </w:pBdr>
        <w:spacing w:line="600" w:lineRule="exact"/>
        <w:rPr>
          <w:szCs w:val="21"/>
        </w:rPr>
      </w:pPr>
      <w:r>
        <w:rPr>
          <w:rFonts w:ascii="Times New Roman" w:hAnsi="Times New Roman" w:eastAsia="仿宋_GB2312"/>
          <w:sz w:val="28"/>
          <w:szCs w:val="28"/>
        </w:rPr>
        <w:t xml:space="preserve"> 连云港市住房和城乡建设局办公室            </w:t>
      </w:r>
      <w:r>
        <w:rPr>
          <w:rFonts w:hint="eastAsia" w:ascii="Times New Roman" w:hAnsi="Times New Roman" w:eastAsia="仿宋_GB2312"/>
          <w:sz w:val="28"/>
          <w:szCs w:val="28"/>
        </w:rPr>
        <w:t xml:space="preserve">                              </w:t>
      </w:r>
      <w:r>
        <w:rPr>
          <w:rFonts w:ascii="Times New Roman" w:hAnsi="Times New Roman" w:eastAsia="仿宋_GB2312"/>
          <w:sz w:val="28"/>
          <w:szCs w:val="28"/>
        </w:rPr>
        <w:t>20</w:t>
      </w:r>
      <w:r>
        <w:rPr>
          <w:rFonts w:hint="eastAsia" w:ascii="Times New Roman" w:hAnsi="Times New Roman" w:eastAsia="仿宋_GB2312"/>
          <w:sz w:val="28"/>
          <w:szCs w:val="28"/>
        </w:rPr>
        <w:t>20</w:t>
      </w:r>
      <w:r>
        <w:rPr>
          <w:rFonts w:ascii="Times New Roman" w:hAnsi="Times New Roman" w:eastAsia="仿宋_GB2312"/>
          <w:sz w:val="28"/>
          <w:szCs w:val="28"/>
        </w:rPr>
        <w:t>年</w:t>
      </w:r>
      <w:r>
        <w:rPr>
          <w:rFonts w:hint="eastAsia" w:ascii="Times New Roman" w:hAnsi="Times New Roman" w:eastAsia="仿宋_GB2312"/>
          <w:sz w:val="28"/>
          <w:szCs w:val="28"/>
        </w:rPr>
        <w:t>7</w:t>
      </w:r>
      <w:r>
        <w:rPr>
          <w:rFonts w:ascii="Times New Roman" w:hAnsi="Times New Roman" w:eastAsia="仿宋_GB2312"/>
          <w:sz w:val="28"/>
          <w:szCs w:val="28"/>
        </w:rPr>
        <w:t>月</w:t>
      </w:r>
      <w:r>
        <w:rPr>
          <w:rFonts w:hint="eastAsia" w:ascii="Times New Roman" w:hAnsi="Times New Roman" w:eastAsia="仿宋_GB2312"/>
          <w:sz w:val="28"/>
          <w:szCs w:val="28"/>
        </w:rPr>
        <w:t>9</w:t>
      </w:r>
      <w:r>
        <w:rPr>
          <w:rFonts w:ascii="Times New Roman" w:hAnsi="Times New Roman" w:eastAsia="仿宋_GB2312"/>
          <w:sz w:val="28"/>
          <w:szCs w:val="28"/>
        </w:rPr>
        <w:t xml:space="preserve">日印发 </w:t>
      </w:r>
      <w:r>
        <w:rPr>
          <w:rFonts w:eastAsia="仿宋_GB2312"/>
          <w:b/>
          <w:bCs/>
          <w:sz w:val="32"/>
          <w:szCs w:val="32"/>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-13439775</wp:posOffset>
                </wp:positionV>
                <wp:extent cx="5572125" cy="635"/>
                <wp:effectExtent l="0" t="0" r="0" b="0"/>
                <wp:wrapNone/>
                <wp:docPr id="2" name="直线 25"/>
                <wp:cNvGraphicFramePr/>
                <a:graphic xmlns:a="http://schemas.openxmlformats.org/drawingml/2006/main">
                  <a:graphicData uri="http://schemas.microsoft.com/office/word/2010/wordprocessingShape">
                    <wps:wsp>
                      <wps:cNvCnPr/>
                      <wps:spPr>
                        <a:xfrm>
                          <a:off x="0" y="0"/>
                          <a:ext cx="557212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5" o:spid="_x0000_s1026" o:spt="20" style="position:absolute;left:0pt;margin-left:2.25pt;margin-top:-1058.25pt;height:0.05pt;width:438.75pt;z-index:251659264;mso-width-relative:page;mso-height-relative:page;" filled="f" stroked="t" coordsize="21600,21600" o:gfxdata="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Emxt3ZAAAADQEAAA8AAAAAAAAAAQAg&#10;AAAAIgAAAGRycy9kb3ducmV2LnhtbFBLAQIUABQAAAAIAIdO4kBgP9681AEAAJ4DAAAOAAAAAAAA&#10;AAEAIAAAACgBAABkcnMvZTJvRG9jLnhtbFBLBQYAAAAABgAGAFkBAABuBQAAAAA=&#10;">
                <v:fill on="f" focussize="0,0"/>
                <v:stroke color="#000000" joinstyle="round"/>
                <v:imagedata o:title=""/>
                <o:lock v:ext="edit" aspectratio="f"/>
              </v:line>
            </w:pict>
          </mc:Fallback>
        </mc:AlternateContent>
      </w:r>
    </w:p>
    <w:sectPr>
      <w:headerReference r:id="rId6" w:type="default"/>
      <w:footerReference r:id="rId7" w:type="default"/>
      <w:footerReference r:id="rId8" w:type="even"/>
      <w:pgSz w:w="16838" w:h="11906" w:orient="landscape"/>
      <w:pgMar w:top="1588" w:right="2098" w:bottom="1474" w:left="1985" w:header="851" w:footer="992" w:gutter="0"/>
      <w:pgNumType w:fmt="numberInDash"/>
      <w:cols w:space="720" w:num="1"/>
      <w:docGrid w:type="linesAndChars" w:linePitch="481"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altName w:val="Arial Unicode MS"/>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840"/>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- 3 -</w:t>
                          </w:r>
                          <w:r>
                            <w:rPr>
                              <w:rFonts w:hint="eastAsia"/>
                              <w:sz w:val="28"/>
                              <w:szCs w:val="2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ExqSK8BAABLAwAADgAAAGRycy9lMm9Eb2MueG1srVPNahsxEL4H+g5C&#10;91prQ4N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PPKXHc4oj2D3/2j8/7p9/kS2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3ExqSK8BAABL&#10;AwAADgAAAAAAAAABACAAAAAeAQAAZHJzL2Uyb0RvYy54bWxQSwUGAAAAAAYABgBZAQAAPwUAAAAA&#10;">
              <v:fill on="f" focussize="0,0"/>
              <v:stroke on="f"/>
              <v:imagedata o:title=""/>
              <o:lock v:ext="edit" aspectratio="f"/>
              <v:textbox inset="0mm,0mm,0mm,0mm" style="mso-fit-shape-to-text:t;">
                <w:txbxContent>
                  <w:p>
                    <w:pPr>
                      <w:pStyle w:val="4"/>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- 3 -</w:t>
                    </w:r>
                    <w:r>
                      <w:rPr>
                        <w:rFonts w:hint="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LqB7Sa8BAABL&#10;AwAADgAAAAAAAAABACAAAAAeAQAAZHJzL2Uyb0RvYy54bWxQSwUGAAAAAAYABgBZAQAAPwUAAAAA&#10;">
              <v:fill on="f" focussize="0,0"/>
              <v:stroke on="f"/>
              <v:imagedata o:title=""/>
              <o:lock v:ext="edit" aspectratio="f"/>
              <v:textbox inset="0mm,0mm,0mm,0mm" style="mso-fit-shape-to-text:t;">
                <w:txbxContent>
                  <w:p>
                    <w:pPr>
                      <w:pStyle w:val="4"/>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840"/>
      <w:rPr>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- 5 -</w:t>
                          </w:r>
                          <w:r>
                            <w:rPr>
                              <w:rFonts w:ascii="Times New Roman" w:hAnsi="Times New Roman"/>
                              <w:sz w:val="28"/>
                              <w:szCs w:val="28"/>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AHJxxOwAEAAHADAAAOAAAAAAAAAAEAIAAAAB4BAABkcnMvZTJvRG9jLnhtbFBLBQYA&#10;AAAABgAGAFkBAABQBQAAAAA=&#10;">
              <v:fill on="f" focussize="0,0"/>
              <v:stroke on="f"/>
              <v:imagedata o:title=""/>
              <o:lock v:ext="edit" aspectratio="f"/>
              <v:textbox inset="0mm,0mm,0mm,0mm" style="mso-fit-shape-to-text:t;">
                <w:txbxContent>
                  <w:p>
                    <w:pPr>
                      <w:pStyle w:val="4"/>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- 5 -</w:t>
                    </w:r>
                    <w:r>
                      <w:rPr>
                        <w:rFonts w:ascii="Times New Roman" w:hAnsi="Times New Roman"/>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- 6 -</w:t>
                          </w:r>
                          <w:r>
                            <w:rPr>
                              <w:rFonts w:ascii="Times New Roman" w:hAnsi="Times New Roman"/>
                              <w:sz w:val="28"/>
                              <w:szCs w:val="28"/>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g9CEZ8EBAABwAwAADgAAAAAAAAABACAAAAAeAQAAZHJzL2Uyb0RvYy54bWxQSwUG&#10;AAAAAAYABgBZAQAAUQUAAAAA&#10;">
              <v:fill on="f" focussize="0,0"/>
              <v:stroke on="f"/>
              <v:imagedata o:title=""/>
              <o:lock v:ext="edit" aspectratio="f"/>
              <v:textbox inset="0mm,0mm,0mm,0mm" style="mso-fit-shape-to-text:t;">
                <w:txbxContent>
                  <w:p>
                    <w:pPr>
                      <w:pStyle w:val="4"/>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- 6 -</w:t>
                    </w:r>
                    <w:r>
                      <w:rPr>
                        <w:rFonts w:ascii="Times New Roman" w:hAnsi="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evenAndOddHeaders w:val="1"/>
  <w:drawingGridHorizontalSpacing w:val="201"/>
  <w:drawingGridVerticalSpacing w:val="481"/>
  <w:displayHorizontalDrawingGridEvery w:val="0"/>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195"/>
    <w:rsid w:val="0000605A"/>
    <w:rsid w:val="00011173"/>
    <w:rsid w:val="00013CA3"/>
    <w:rsid w:val="00016461"/>
    <w:rsid w:val="000312D8"/>
    <w:rsid w:val="0004199E"/>
    <w:rsid w:val="00072450"/>
    <w:rsid w:val="00073A33"/>
    <w:rsid w:val="00074698"/>
    <w:rsid w:val="00074A50"/>
    <w:rsid w:val="00080486"/>
    <w:rsid w:val="000853BC"/>
    <w:rsid w:val="000A0AE1"/>
    <w:rsid w:val="000A60AA"/>
    <w:rsid w:val="000B3DE1"/>
    <w:rsid w:val="000C5AEA"/>
    <w:rsid w:val="000D2173"/>
    <w:rsid w:val="000D5797"/>
    <w:rsid w:val="001072CD"/>
    <w:rsid w:val="00107D6E"/>
    <w:rsid w:val="00142D14"/>
    <w:rsid w:val="00145712"/>
    <w:rsid w:val="00146E58"/>
    <w:rsid w:val="00165C71"/>
    <w:rsid w:val="001B1A6D"/>
    <w:rsid w:val="001B4897"/>
    <w:rsid w:val="001B5DA3"/>
    <w:rsid w:val="001C19EA"/>
    <w:rsid w:val="001D14E7"/>
    <w:rsid w:val="001D60BA"/>
    <w:rsid w:val="001E13F8"/>
    <w:rsid w:val="001E2498"/>
    <w:rsid w:val="001F0482"/>
    <w:rsid w:val="00200A7C"/>
    <w:rsid w:val="00200C11"/>
    <w:rsid w:val="00224BD0"/>
    <w:rsid w:val="00236ED8"/>
    <w:rsid w:val="0025441D"/>
    <w:rsid w:val="00257D0A"/>
    <w:rsid w:val="00263C85"/>
    <w:rsid w:val="002641F8"/>
    <w:rsid w:val="002875FA"/>
    <w:rsid w:val="00291195"/>
    <w:rsid w:val="002A6DDE"/>
    <w:rsid w:val="002B0217"/>
    <w:rsid w:val="002B3237"/>
    <w:rsid w:val="002B3A2C"/>
    <w:rsid w:val="002C09F4"/>
    <w:rsid w:val="002C7B5C"/>
    <w:rsid w:val="00312EB5"/>
    <w:rsid w:val="0034580A"/>
    <w:rsid w:val="0034660A"/>
    <w:rsid w:val="003475D5"/>
    <w:rsid w:val="00355FC6"/>
    <w:rsid w:val="0035637F"/>
    <w:rsid w:val="0037083C"/>
    <w:rsid w:val="003A6186"/>
    <w:rsid w:val="003D6FDF"/>
    <w:rsid w:val="003E4323"/>
    <w:rsid w:val="0040228A"/>
    <w:rsid w:val="00433220"/>
    <w:rsid w:val="0044383F"/>
    <w:rsid w:val="00443FAD"/>
    <w:rsid w:val="004636AC"/>
    <w:rsid w:val="00476047"/>
    <w:rsid w:val="00490C67"/>
    <w:rsid w:val="004C4BA7"/>
    <w:rsid w:val="004E7AA6"/>
    <w:rsid w:val="004F122F"/>
    <w:rsid w:val="004F4D68"/>
    <w:rsid w:val="0050785E"/>
    <w:rsid w:val="005103D7"/>
    <w:rsid w:val="00515847"/>
    <w:rsid w:val="00520560"/>
    <w:rsid w:val="005261F1"/>
    <w:rsid w:val="005349DF"/>
    <w:rsid w:val="00544F72"/>
    <w:rsid w:val="00550567"/>
    <w:rsid w:val="00577796"/>
    <w:rsid w:val="00581114"/>
    <w:rsid w:val="0058314D"/>
    <w:rsid w:val="0058465D"/>
    <w:rsid w:val="00586BD8"/>
    <w:rsid w:val="005900F7"/>
    <w:rsid w:val="005A1F6E"/>
    <w:rsid w:val="005A3089"/>
    <w:rsid w:val="005B7DB5"/>
    <w:rsid w:val="005C2819"/>
    <w:rsid w:val="005C58FB"/>
    <w:rsid w:val="005D51C2"/>
    <w:rsid w:val="005F7E37"/>
    <w:rsid w:val="0061567B"/>
    <w:rsid w:val="00631274"/>
    <w:rsid w:val="00641602"/>
    <w:rsid w:val="00642810"/>
    <w:rsid w:val="006654FE"/>
    <w:rsid w:val="006711A0"/>
    <w:rsid w:val="00677DC0"/>
    <w:rsid w:val="0068621D"/>
    <w:rsid w:val="006A4A9E"/>
    <w:rsid w:val="006A4B50"/>
    <w:rsid w:val="006A5E59"/>
    <w:rsid w:val="006B4A00"/>
    <w:rsid w:val="006D2E86"/>
    <w:rsid w:val="006D5E4A"/>
    <w:rsid w:val="006E3400"/>
    <w:rsid w:val="006E636D"/>
    <w:rsid w:val="006F38B1"/>
    <w:rsid w:val="0072313F"/>
    <w:rsid w:val="00743E62"/>
    <w:rsid w:val="00744C4A"/>
    <w:rsid w:val="0074729F"/>
    <w:rsid w:val="00754BBD"/>
    <w:rsid w:val="00767FA1"/>
    <w:rsid w:val="00782F05"/>
    <w:rsid w:val="00791F54"/>
    <w:rsid w:val="00797C21"/>
    <w:rsid w:val="007B4F5A"/>
    <w:rsid w:val="007C50E9"/>
    <w:rsid w:val="007D6735"/>
    <w:rsid w:val="007E6B68"/>
    <w:rsid w:val="00800993"/>
    <w:rsid w:val="0080211E"/>
    <w:rsid w:val="00811513"/>
    <w:rsid w:val="00830101"/>
    <w:rsid w:val="00836C33"/>
    <w:rsid w:val="00861597"/>
    <w:rsid w:val="008623E2"/>
    <w:rsid w:val="00884B2D"/>
    <w:rsid w:val="008858E7"/>
    <w:rsid w:val="008901FB"/>
    <w:rsid w:val="008A6A09"/>
    <w:rsid w:val="008A7876"/>
    <w:rsid w:val="008D3D99"/>
    <w:rsid w:val="008D5871"/>
    <w:rsid w:val="008F11AC"/>
    <w:rsid w:val="0091089A"/>
    <w:rsid w:val="00912F51"/>
    <w:rsid w:val="009156C8"/>
    <w:rsid w:val="00924747"/>
    <w:rsid w:val="00944CEC"/>
    <w:rsid w:val="009450A7"/>
    <w:rsid w:val="009477D3"/>
    <w:rsid w:val="00950040"/>
    <w:rsid w:val="00950883"/>
    <w:rsid w:val="00954D08"/>
    <w:rsid w:val="0096349F"/>
    <w:rsid w:val="00975402"/>
    <w:rsid w:val="00985843"/>
    <w:rsid w:val="009900CF"/>
    <w:rsid w:val="00991D51"/>
    <w:rsid w:val="009A5DD2"/>
    <w:rsid w:val="009B5357"/>
    <w:rsid w:val="009C2F26"/>
    <w:rsid w:val="009D3615"/>
    <w:rsid w:val="009D5B34"/>
    <w:rsid w:val="009E7B6D"/>
    <w:rsid w:val="009F755D"/>
    <w:rsid w:val="00A12007"/>
    <w:rsid w:val="00A14B3C"/>
    <w:rsid w:val="00A21CB5"/>
    <w:rsid w:val="00A24EB4"/>
    <w:rsid w:val="00A26E43"/>
    <w:rsid w:val="00A333D0"/>
    <w:rsid w:val="00A43D05"/>
    <w:rsid w:val="00A4533F"/>
    <w:rsid w:val="00AA154F"/>
    <w:rsid w:val="00AC109D"/>
    <w:rsid w:val="00AC39CA"/>
    <w:rsid w:val="00AD178E"/>
    <w:rsid w:val="00AD63F2"/>
    <w:rsid w:val="00AE17AE"/>
    <w:rsid w:val="00AF1F84"/>
    <w:rsid w:val="00AF4FB6"/>
    <w:rsid w:val="00B0717B"/>
    <w:rsid w:val="00B11463"/>
    <w:rsid w:val="00B22480"/>
    <w:rsid w:val="00B32FA7"/>
    <w:rsid w:val="00B521F6"/>
    <w:rsid w:val="00B55BEB"/>
    <w:rsid w:val="00B81E20"/>
    <w:rsid w:val="00B92761"/>
    <w:rsid w:val="00BB7783"/>
    <w:rsid w:val="00BC7EFB"/>
    <w:rsid w:val="00BE058A"/>
    <w:rsid w:val="00BF78F5"/>
    <w:rsid w:val="00C16702"/>
    <w:rsid w:val="00C22E38"/>
    <w:rsid w:val="00C31C9B"/>
    <w:rsid w:val="00C34013"/>
    <w:rsid w:val="00C51465"/>
    <w:rsid w:val="00C841EF"/>
    <w:rsid w:val="00C85530"/>
    <w:rsid w:val="00C8568B"/>
    <w:rsid w:val="00C91BEE"/>
    <w:rsid w:val="00C92CCD"/>
    <w:rsid w:val="00C93AC4"/>
    <w:rsid w:val="00CA7F51"/>
    <w:rsid w:val="00CB0E81"/>
    <w:rsid w:val="00CB5A9E"/>
    <w:rsid w:val="00CC0C12"/>
    <w:rsid w:val="00CF346B"/>
    <w:rsid w:val="00D21294"/>
    <w:rsid w:val="00D21B76"/>
    <w:rsid w:val="00D3276F"/>
    <w:rsid w:val="00D417CF"/>
    <w:rsid w:val="00D612D0"/>
    <w:rsid w:val="00D72911"/>
    <w:rsid w:val="00D951AB"/>
    <w:rsid w:val="00DB7FCC"/>
    <w:rsid w:val="00DC156C"/>
    <w:rsid w:val="00DD5015"/>
    <w:rsid w:val="00E0333A"/>
    <w:rsid w:val="00E16507"/>
    <w:rsid w:val="00E333B2"/>
    <w:rsid w:val="00E47AF2"/>
    <w:rsid w:val="00E51949"/>
    <w:rsid w:val="00E5619F"/>
    <w:rsid w:val="00E5791C"/>
    <w:rsid w:val="00E61E03"/>
    <w:rsid w:val="00E642B4"/>
    <w:rsid w:val="00EA5205"/>
    <w:rsid w:val="00EC3FD3"/>
    <w:rsid w:val="00ED622C"/>
    <w:rsid w:val="00EE0E2C"/>
    <w:rsid w:val="00EE1969"/>
    <w:rsid w:val="00EF6CDF"/>
    <w:rsid w:val="00F10243"/>
    <w:rsid w:val="00F111FA"/>
    <w:rsid w:val="00F25331"/>
    <w:rsid w:val="00F32489"/>
    <w:rsid w:val="00F55D43"/>
    <w:rsid w:val="00F63DC0"/>
    <w:rsid w:val="00F65FF8"/>
    <w:rsid w:val="00F729EC"/>
    <w:rsid w:val="00F85144"/>
    <w:rsid w:val="00FA3444"/>
    <w:rsid w:val="00FB6E37"/>
    <w:rsid w:val="00FC0999"/>
    <w:rsid w:val="00FC57C1"/>
    <w:rsid w:val="00FD4164"/>
    <w:rsid w:val="00FF5FC9"/>
    <w:rsid w:val="13D658EE"/>
    <w:rsid w:val="1C8D4426"/>
    <w:rsid w:val="1F3A7B4B"/>
    <w:rsid w:val="23F30A91"/>
    <w:rsid w:val="25102021"/>
    <w:rsid w:val="2AEE3492"/>
    <w:rsid w:val="2DA02EE8"/>
    <w:rsid w:val="37DD6C7B"/>
    <w:rsid w:val="45D25817"/>
    <w:rsid w:val="4BB73C10"/>
    <w:rsid w:val="544B6F9E"/>
    <w:rsid w:val="5D964B36"/>
    <w:rsid w:val="5E4B16D0"/>
    <w:rsid w:val="5EC24654"/>
    <w:rsid w:val="64B940F2"/>
    <w:rsid w:val="70CD5179"/>
    <w:rsid w:val="7285772D"/>
    <w:rsid w:val="775E5B74"/>
    <w:rsid w:val="77C02A00"/>
    <w:rsid w:val="7B1B39CF"/>
    <w:rsid w:val="7E393074"/>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720" w:firstLineChars="200"/>
    </w:pPr>
    <w:rPr>
      <w:rFonts w:ascii="黑体" w:eastAsia="黑体"/>
      <w:sz w:val="36"/>
      <w:szCs w:val="32"/>
    </w:rPr>
  </w:style>
  <w:style w:type="paragraph" w:styleId="3">
    <w:name w:val="Balloon Text"/>
    <w:basedOn w:val="1"/>
    <w:link w:val="15"/>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kern w:val="0"/>
      <w:sz w:val="24"/>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方正小标宋_GBK" w:hAnsi="方正小标宋_GBK" w:eastAsia="微软雅黑" w:cs="方正小标宋_GBK"/>
      <w:color w:val="000000"/>
      <w:sz w:val="24"/>
      <w:szCs w:val="24"/>
      <w:lang w:val="en-US" w:eastAsia="zh-CN" w:bidi="ar-SA"/>
    </w:rPr>
  </w:style>
  <w:style w:type="character" w:customStyle="1" w:styleId="11">
    <w:name w:val="页眉 Char"/>
    <w:link w:val="5"/>
    <w:qFormat/>
    <w:uiPriority w:val="0"/>
    <w:rPr>
      <w:kern w:val="2"/>
      <w:sz w:val="18"/>
      <w:szCs w:val="18"/>
    </w:rPr>
  </w:style>
  <w:style w:type="character" w:customStyle="1" w:styleId="12">
    <w:name w:val="页脚 Char"/>
    <w:link w:val="4"/>
    <w:qFormat/>
    <w:uiPriority w:val="99"/>
    <w:rPr>
      <w:kern w:val="2"/>
      <w:sz w:val="18"/>
      <w:szCs w:val="18"/>
    </w:rPr>
  </w:style>
  <w:style w:type="character" w:customStyle="1" w:styleId="13">
    <w:name w:val="页脚 Char1"/>
    <w:basedOn w:val="9"/>
    <w:qFormat/>
    <w:uiPriority w:val="0"/>
    <w:rPr>
      <w:kern w:val="2"/>
      <w:sz w:val="18"/>
      <w:szCs w:val="18"/>
    </w:rPr>
  </w:style>
  <w:style w:type="character" w:customStyle="1" w:styleId="14">
    <w:name w:val="页眉 Char1"/>
    <w:basedOn w:val="9"/>
    <w:qFormat/>
    <w:uiPriority w:val="0"/>
    <w:rPr>
      <w:kern w:val="2"/>
      <w:sz w:val="18"/>
      <w:szCs w:val="18"/>
    </w:rPr>
  </w:style>
  <w:style w:type="character" w:customStyle="1" w:styleId="15">
    <w:name w:val="批注框文本 Char"/>
    <w:basedOn w:val="9"/>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479</Words>
  <Characters>2736</Characters>
  <Lines>22</Lines>
  <Paragraphs>6</Paragraphs>
  <TotalTime>35</TotalTime>
  <ScaleCrop>false</ScaleCrop>
  <LinksUpToDate>false</LinksUpToDate>
  <CharactersWithSpaces>3209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2019-09-16T03:32:00Z</dcterms:created>
  <dc:creator>Billgates</dc:creator>
  <cp:lastModifiedBy>Administrator</cp:lastModifiedBy>
  <cp:lastPrinted>2020-07-09T08:40:15Z</cp:lastPrinted>
  <dcterms:modified xsi:type="dcterms:W3CDTF">2020-07-09T08:40:23Z</dcterms:modified>
  <dc:title>徐州市财政局文件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