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bookmarkStart w:id="2" w:name="_GoBack"/>
      <w:bookmarkEnd w:id="2"/>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连建质安〔2022〕75号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adjustRightInd w:val="0"/>
        <w:snapToGrid w:val="0"/>
        <w:spacing w:line="560" w:lineRule="exact"/>
        <w:contextualSpacing/>
        <w:jc w:val="center"/>
        <w:rPr>
          <w:rFonts w:ascii="方正小标宋简体" w:hAnsi="Times New Roman" w:eastAsia="方正小标宋简体"/>
          <w:sz w:val="44"/>
          <w:szCs w:val="44"/>
        </w:rPr>
      </w:pPr>
      <w:bookmarkStart w:id="1" w:name="附件"/>
      <w:bookmarkEnd w:id="1"/>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连云港市住房和城乡建设局</w:t>
      </w:r>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关于印发《连云港市2022年房屋市政工程</w:t>
      </w:r>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建筑工地扬尘污染专项整治工作</w:t>
      </w:r>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实施方案》的通知</w:t>
      </w:r>
    </w:p>
    <w:p>
      <w:pPr>
        <w:pStyle w:val="14"/>
        <w:adjustRightInd w:val="0"/>
        <w:snapToGrid w:val="0"/>
        <w:spacing w:line="560" w:lineRule="exact"/>
        <w:contextualSpacing/>
        <w:jc w:val="center"/>
        <w:rPr>
          <w:rFonts w:ascii="方正小标宋简体" w:hAnsi="Times New Roman" w:eastAsia="方正小标宋简体" w:cs="Times New Roman"/>
        </w:rPr>
      </w:pPr>
    </w:p>
    <w:p>
      <w:pPr>
        <w:adjustRightInd w:val="0"/>
        <w:snapToGrid w:val="0"/>
        <w:spacing w:line="560" w:lineRule="exact"/>
        <w:contextualSpacing/>
        <w:rPr>
          <w:rFonts w:ascii="Times New Roman" w:hAnsi="Times New Roman" w:eastAsia="仿宋_GB2312"/>
          <w:sz w:val="32"/>
          <w:szCs w:val="32"/>
        </w:rPr>
      </w:pPr>
      <w:r>
        <w:rPr>
          <w:rFonts w:ascii="Times New Roman" w:hAnsi="Times New Roman" w:eastAsia="仿宋_GB2312"/>
          <w:sz w:val="32"/>
          <w:szCs w:val="32"/>
        </w:rPr>
        <w:t>各县区（功能板块）住建局，各有关单位：</w:t>
      </w:r>
    </w:p>
    <w:p>
      <w:pPr>
        <w:adjustRightInd w:val="0"/>
        <w:snapToGrid w:val="0"/>
        <w:spacing w:line="560" w:lineRule="exact"/>
        <w:ind w:firstLine="622" w:firstLineChars="200"/>
        <w:contextualSpacing/>
        <w:rPr>
          <w:rFonts w:ascii="Times New Roman" w:hAnsi="Times New Roman" w:eastAsia="仿宋_GB2312"/>
          <w:sz w:val="32"/>
          <w:szCs w:val="32"/>
        </w:rPr>
      </w:pPr>
      <w:r>
        <w:rPr>
          <w:rFonts w:ascii="Times New Roman" w:hAnsi="Times New Roman" w:eastAsia="仿宋_GB2312"/>
          <w:sz w:val="32"/>
          <w:szCs w:val="32"/>
        </w:rPr>
        <w:t>根据连云港市大气污染防治工作联席会议办公室《关于印发&lt;连云港市2022年扬尘污染专项整治工作方案&gt;的通知》（连大气办〔2022〕3号）工作部署和要求，为进一步明确房屋市政工程建筑工地扬尘整治标准，提高扬尘治理水平，推动我市空气质量持续改善，市住建局制定《连云港市2022年房屋市政工程建筑工地扬尘污染专项整治工作实施方案》，请遵照实施。</w:t>
      </w:r>
    </w:p>
    <w:p>
      <w:pPr>
        <w:adjustRightInd w:val="0"/>
        <w:snapToGrid w:val="0"/>
        <w:spacing w:line="560" w:lineRule="exact"/>
        <w:ind w:firstLine="622" w:firstLineChars="200"/>
        <w:contextualSpacing/>
        <w:rPr>
          <w:rFonts w:ascii="Times New Roman" w:hAnsi="Times New Roman" w:eastAsia="仿宋_GB2312"/>
          <w:sz w:val="32"/>
          <w:szCs w:val="32"/>
        </w:rPr>
      </w:pPr>
    </w:p>
    <w:p>
      <w:pPr>
        <w:adjustRightInd w:val="0"/>
        <w:snapToGrid w:val="0"/>
        <w:spacing w:line="560" w:lineRule="exact"/>
        <w:ind w:left="1838" w:leftChars="308" w:hanging="1219" w:hangingChars="392"/>
        <w:contextualSpacing/>
        <w:rPr>
          <w:rFonts w:ascii="Times New Roman" w:hAnsi="Times New Roman" w:eastAsia="仿宋_GB2312"/>
          <w:sz w:val="32"/>
          <w:szCs w:val="32"/>
        </w:rPr>
      </w:pPr>
      <w:r>
        <w:rPr>
          <w:rFonts w:ascii="Times New Roman" w:hAnsi="Times New Roman" w:eastAsia="仿宋_GB2312"/>
          <w:sz w:val="32"/>
          <w:szCs w:val="32"/>
        </w:rPr>
        <w:t>附件：1.连云港市2022年建筑工地扬尘污染专项整治工作实施方案</w:t>
      </w:r>
    </w:p>
    <w:p>
      <w:pPr>
        <w:adjustRightInd w:val="0"/>
        <w:snapToGrid w:val="0"/>
        <w:spacing w:line="560" w:lineRule="exact"/>
        <w:ind w:firstLine="1555" w:firstLineChars="500"/>
        <w:contextualSpacing/>
        <w:rPr>
          <w:rFonts w:ascii="Times New Roman" w:hAnsi="Times New Roman" w:eastAsia="仿宋_GB2312"/>
          <w:sz w:val="32"/>
          <w:szCs w:val="32"/>
        </w:rPr>
      </w:pPr>
      <w:r>
        <w:rPr>
          <w:rFonts w:ascii="Times New Roman" w:hAnsi="Times New Roman" w:eastAsia="仿宋_GB2312"/>
          <w:sz w:val="32"/>
          <w:szCs w:val="32"/>
        </w:rPr>
        <w:t>2.××县（区）、功能板块住建局扬尘源排查整治台账</w:t>
      </w:r>
    </w:p>
    <w:p>
      <w:pPr>
        <w:adjustRightInd w:val="0"/>
        <w:snapToGrid w:val="0"/>
        <w:spacing w:line="560" w:lineRule="exact"/>
        <w:contextualSpacing/>
        <w:rPr>
          <w:rFonts w:ascii="Times New Roman" w:hAnsi="Times New Roman" w:eastAsia="仿宋_GB2312"/>
          <w:sz w:val="32"/>
          <w:szCs w:val="32"/>
        </w:rPr>
      </w:pPr>
    </w:p>
    <w:p>
      <w:pPr>
        <w:adjustRightInd w:val="0"/>
        <w:snapToGrid w:val="0"/>
        <w:spacing w:line="560" w:lineRule="exact"/>
        <w:contextualSpacing/>
        <w:rPr>
          <w:rFonts w:ascii="Times New Roman" w:hAnsi="Times New Roman" w:eastAsia="仿宋_GB2312"/>
          <w:sz w:val="32"/>
          <w:szCs w:val="32"/>
        </w:rPr>
      </w:pPr>
    </w:p>
    <w:p>
      <w:pPr>
        <w:adjustRightInd w:val="0"/>
        <w:snapToGrid w:val="0"/>
        <w:spacing w:line="560" w:lineRule="exact"/>
        <w:contextualSpacing/>
        <w:rPr>
          <w:rFonts w:ascii="Times New Roman" w:hAnsi="Times New Roman" w:eastAsia="仿宋_GB2312"/>
          <w:sz w:val="32"/>
          <w:szCs w:val="32"/>
        </w:rPr>
      </w:pPr>
    </w:p>
    <w:p>
      <w:pPr>
        <w:adjustRightInd w:val="0"/>
        <w:snapToGrid w:val="0"/>
        <w:spacing w:line="560" w:lineRule="exact"/>
        <w:ind w:firstLine="4420" w:firstLineChars="1421"/>
        <w:contextualSpacing/>
        <w:rPr>
          <w:rFonts w:ascii="Times New Roman" w:hAnsi="Times New Roman" w:eastAsia="仿宋_GB2312"/>
          <w:sz w:val="32"/>
          <w:szCs w:val="32"/>
        </w:rPr>
      </w:pPr>
      <w:r>
        <w:rPr>
          <w:rFonts w:ascii="Times New Roman" w:hAnsi="Times New Roman" w:eastAsia="仿宋_GB2312"/>
          <w:sz w:val="32"/>
          <w:szCs w:val="32"/>
        </w:rPr>
        <w:t>连云港市住房和城乡建设局</w:t>
      </w:r>
    </w:p>
    <w:p>
      <w:pPr>
        <w:adjustRightInd w:val="0"/>
        <w:snapToGrid w:val="0"/>
        <w:spacing w:line="560" w:lineRule="exact"/>
        <w:contextualSpacing/>
        <w:rPr>
          <w:rFonts w:ascii="Times New Roman" w:hAnsi="Times New Roman" w:eastAsia="仿宋_GB2312"/>
          <w:sz w:val="32"/>
          <w:szCs w:val="32"/>
        </w:rPr>
      </w:pPr>
      <w:r>
        <w:rPr>
          <w:rFonts w:ascii="Times New Roman" w:hAnsi="Times New Roman" w:eastAsia="仿宋_GB2312"/>
          <w:sz w:val="32"/>
          <w:szCs w:val="32"/>
        </w:rPr>
        <w:t xml:space="preserve">                                  2022年4月</w:t>
      </w:r>
      <w:r>
        <w:rPr>
          <w:rFonts w:hint="eastAsia" w:ascii="Times New Roman" w:hAnsi="Times New Roman" w:eastAsia="仿宋_GB2312"/>
          <w:sz w:val="32"/>
          <w:szCs w:val="32"/>
        </w:rPr>
        <w:t>7</w:t>
      </w:r>
      <w:r>
        <w:rPr>
          <w:rFonts w:ascii="Times New Roman" w:hAnsi="Times New Roman" w:eastAsia="仿宋_GB2312"/>
          <w:sz w:val="32"/>
          <w:szCs w:val="32"/>
        </w:rPr>
        <w:t>日</w:t>
      </w:r>
    </w:p>
    <w:p>
      <w:pPr>
        <w:adjustRightInd w:val="0"/>
        <w:snapToGrid w:val="0"/>
        <w:spacing w:line="560" w:lineRule="exact"/>
        <w:contextualSpacing/>
        <w:rPr>
          <w:rFonts w:ascii="Times New Roman" w:hAnsi="Times New Roman" w:eastAsia="仿宋_GB2312"/>
          <w:sz w:val="32"/>
          <w:szCs w:val="32"/>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7</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3"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oni2zuAQAA7AMAAA4AAABkcnMvZTJvRG9jLnhtbK1T&#10;zY7TMBC+I/EOlu80bVddIGq6hy3LBUEl4AGmtpNY8p88btM+C6/BiQuPs6/B2AllWS49kIMz9sx8&#10;M9/n8fruZA07qojau4YvZnPOlBNeatc1/OuXh1dvOMMEToLxTjX8rJDfbV6+WA+hVkvfeyNVZATi&#10;sB5Cw/uUQl1VKHplAWc+KEfO1kcLibaxq2SEgdCtqZbz+W01+ChD9EIh0ul2dPIJMV4D6NtWC7X1&#10;4mCVSyNqVAYSUcJeB+Sb0m3bKpE+tS2qxEzDiWkqKxUhe5/XarOGuosQei2mFuCaFp5xsqAdFb1A&#10;bSEBO0T9D5TVInr0bZoJb6uRSFGEWCzmz7T53ENQhQtJjeEiOv4/WPHxuItMy4bfcObA0oU/fvv+&#10;+OMnW66yOEPAmmLu3S5OOwy7mJme2mjznziwUxH0fBFUnRITdLhavV4uCIgJ8t3eFMTqT2qImN4r&#10;b1k2Gm60y2yhhuMHTFSOQn+H5GPj2NDwt6sCCDR6LV05YdtA7aPrSi56o+WDNiZnYOz29yayI+Tr&#10;L18mRbh/heUiW8B+jCuucTB6BfKdkyydAwnj6D3w3IJVkjOj6PlkiwChTqDNNZFU2ricoMpwTjyz&#10;yqOu2dp7eaZLOYSou550WZSes4eGoHQ/DWyesqd7sp8+0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Koni2zuAQAA7AMAAA4AAAAAAAAAAQAgAAAAKAEAAGRycy9lMm9Eb2MueG1sUEsFBgAA&#10;AAAGAAYAWQEAAIgFAAAAAA==&#10;">
                <v:fill on="f" focussize="0,0"/>
                <v:stroke color="#000000" joinstyle="round"/>
                <v:imagedata o:title=""/>
                <o:lock v:ext="edit" aspectratio="f"/>
              </v:line>
            </w:pict>
          </mc:Fallback>
        </mc:AlternateContent>
      </w:r>
    </w:p>
    <w:p>
      <w:pPr>
        <w:adjustRightInd w:val="0"/>
        <w:snapToGrid w:val="0"/>
        <w:spacing w:line="560" w:lineRule="exact"/>
        <w:contextualSpacing/>
        <w:rPr>
          <w:rFonts w:ascii="Times New Roman" w:hAnsi="Times New Roman" w:eastAsia="黑体"/>
          <w:sz w:val="44"/>
          <w:szCs w:val="44"/>
        </w:rPr>
        <w:sectPr>
          <w:pgSz w:w="11906" w:h="16838"/>
          <w:pgMar w:top="2098" w:right="1474" w:bottom="1985" w:left="1588" w:header="851" w:footer="992" w:gutter="0"/>
          <w:pgNumType w:fmt="numberInDash"/>
          <w:cols w:space="720" w:num="1"/>
          <w:docGrid w:type="linesAndChars" w:linePitch="481" w:charSpace="-1844"/>
        </w:sectPr>
      </w:pPr>
    </w:p>
    <w:p>
      <w:pPr>
        <w:adjustRightInd w:val="0"/>
        <w:snapToGrid w:val="0"/>
        <w:spacing w:line="560" w:lineRule="exact"/>
        <w:contextualSpacing/>
        <w:jc w:val="lef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连云港市2022年房屋市政工程建筑工地</w:t>
      </w:r>
    </w:p>
    <w:p>
      <w:pPr>
        <w:adjustRightInd w:val="0"/>
        <w:snapToGrid w:val="0"/>
        <w:spacing w:line="56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扬尘污染专项整治工作实施方案</w:t>
      </w:r>
    </w:p>
    <w:p>
      <w:pPr>
        <w:pStyle w:val="14"/>
        <w:adjustRightInd w:val="0"/>
        <w:snapToGrid w:val="0"/>
        <w:spacing w:line="560" w:lineRule="exact"/>
        <w:contextualSpacing/>
        <w:jc w:val="center"/>
        <w:rPr>
          <w:rFonts w:ascii="方正小标宋简体" w:hAnsi="Times New Roman" w:eastAsia="方正小标宋简体" w:cs="Times New Roman"/>
        </w:rPr>
      </w:pPr>
    </w:p>
    <w:p>
      <w:pPr>
        <w:adjustRightInd w:val="0"/>
        <w:snapToGrid w:val="0"/>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为严格贯彻落实国家、省、市大气污染防治决策部署，扎实开展房屋市政工程建筑工地扬尘治理工作，加强建筑工地扬尘污染防治，落实各方责任主体防治责任，严格建筑工地扬尘污染防治督查考核，进一步提升建筑工作扬尘治理能力和水平，推动我市空气质量持续改善，特制定方案如下：</w:t>
      </w:r>
    </w:p>
    <w:p>
      <w:pPr>
        <w:adjustRightInd w:val="0"/>
        <w:snapToGrid w:val="0"/>
        <w:spacing w:line="560" w:lineRule="exact"/>
        <w:ind w:firstLine="640" w:firstLineChars="200"/>
        <w:contextualSpacing/>
        <w:rPr>
          <w:rFonts w:ascii="黑体" w:hAnsi="黑体" w:eastAsia="黑体"/>
          <w:sz w:val="32"/>
          <w:szCs w:val="32"/>
        </w:rPr>
      </w:pPr>
      <w:r>
        <w:rPr>
          <w:rFonts w:ascii="黑体" w:hAnsi="黑体" w:eastAsia="黑体"/>
          <w:sz w:val="32"/>
          <w:szCs w:val="32"/>
        </w:rPr>
        <w:t>一、指导思想</w:t>
      </w:r>
    </w:p>
    <w:p>
      <w:pPr>
        <w:adjustRightInd w:val="0"/>
        <w:snapToGrid w:val="0"/>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以习近平生态文明思想为指导，全面落实国家、省、市大气污染防治决策部署，持续强化建筑工地扬尘治理“六个百分之百”要求，以减少重污染天气和压降PM2.5浓度为主要目标，突出精准治污、科学治污、依法治污，坚持方向不变、力度不减，开展建筑工地扬尘污染全面排查整治，坚持问题导向，加大监督和帮扶力度，强化考核问责，切实压实工作责任。</w:t>
      </w:r>
    </w:p>
    <w:p>
      <w:pPr>
        <w:adjustRightInd w:val="0"/>
        <w:snapToGrid w:val="0"/>
        <w:spacing w:line="560" w:lineRule="exact"/>
        <w:ind w:firstLine="640" w:firstLineChars="200"/>
        <w:contextualSpacing/>
        <w:rPr>
          <w:rFonts w:ascii="黑体" w:hAnsi="黑体" w:eastAsia="黑体"/>
          <w:sz w:val="32"/>
          <w:szCs w:val="32"/>
        </w:rPr>
      </w:pPr>
      <w:r>
        <w:rPr>
          <w:rFonts w:ascii="黑体" w:hAnsi="黑体" w:eastAsia="黑体"/>
          <w:sz w:val="32"/>
          <w:szCs w:val="32"/>
        </w:rPr>
        <w:t>二、工作目标</w:t>
      </w:r>
    </w:p>
    <w:p>
      <w:pPr>
        <w:adjustRightInd w:val="0"/>
        <w:snapToGrid w:val="0"/>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扎实开展房屋市政工程建筑工地扬尘专项治理，健全扬尘污染常态化管控机制，进一步落实参建各方扬尘防控主体责任，建立扬尘污染源排查整治台账。强化扬尘考评结果应用，持续强化扬尘治理“六个百分之百”要求，实现建筑工地扬尘污染问题“清零”。</w:t>
      </w:r>
    </w:p>
    <w:p>
      <w:pPr>
        <w:adjustRightInd w:val="0"/>
        <w:snapToGrid w:val="0"/>
        <w:spacing w:line="560" w:lineRule="exact"/>
        <w:ind w:firstLine="640" w:firstLineChars="200"/>
        <w:contextualSpacing/>
        <w:rPr>
          <w:rFonts w:ascii="黑体" w:hAnsi="黑体" w:eastAsia="黑体"/>
          <w:sz w:val="32"/>
          <w:szCs w:val="32"/>
        </w:rPr>
      </w:pPr>
      <w:r>
        <w:rPr>
          <w:rFonts w:ascii="黑体" w:hAnsi="黑体" w:eastAsia="黑体"/>
          <w:sz w:val="32"/>
          <w:szCs w:val="32"/>
        </w:rPr>
        <w:t>三、整治标准</w:t>
      </w:r>
    </w:p>
    <w:p>
      <w:pPr>
        <w:adjustRightInd w:val="0"/>
        <w:snapToGrid w:val="0"/>
        <w:spacing w:line="560" w:lineRule="exact"/>
        <w:ind w:firstLine="640" w:firstLineChars="200"/>
        <w:contextualSpacing/>
        <w:rPr>
          <w:rFonts w:ascii="Times New Roman" w:hAnsi="Times New Roman" w:eastAsia="仿宋_GB2312"/>
          <w:sz w:val="32"/>
          <w:szCs w:val="32"/>
        </w:rPr>
      </w:pPr>
      <w:r>
        <w:rPr>
          <w:rFonts w:ascii="Times New Roman" w:hAnsi="Times New Roman" w:eastAsia="楷体_GB2312"/>
          <w:sz w:val="32"/>
          <w:szCs w:val="32"/>
        </w:rPr>
        <w:t>（一）建筑工地扬尘问题“清零”标准</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sz w:val="32"/>
          <w:szCs w:val="32"/>
        </w:rPr>
        <w:t>建筑工地</w:t>
      </w:r>
      <w:r>
        <w:rPr>
          <w:rFonts w:ascii="Times New Roman" w:hAnsi="Times New Roman" w:eastAsia="仿宋_GB2312"/>
          <w:color w:val="000000" w:themeColor="text1"/>
          <w:sz w:val="32"/>
          <w:szCs w:val="32"/>
        </w:rPr>
        <w:t>范围内无未覆盖裸土、无积尘、起尘现象；施工作业严格执行“六个百分百”要求，施工现场安装在线监测和视频监控设备，并将相关数据推送至住建主管部门。</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楷体_GB2312"/>
          <w:color w:val="000000" w:themeColor="text1"/>
          <w:sz w:val="32"/>
          <w:szCs w:val="32"/>
        </w:rPr>
        <w:t>（二）“六个百分百”具体要求</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1.工地周边100%围挡。围挡高度设置不低于2.5米；围挡及围挡附近整洁、无积尘。</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裸土、物料堆放100%覆盖。覆盖物需采用密目式防尘网（网目数不低于2000目/100cm²）或防尘布，并保证覆盖物清洁。建筑工地在建筑结构脚手架外侧设置有效抑尘的密目式安全立网或防尘布；集中、分类堆放建筑垃圾，24小时内不能及时清运的，采取100%覆盖、撒水等防尘措施。</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3.出入车辆100%冲洗。所有驶出工地的工程车辆车身和车轮进行清洗，未见车轮带泥上路现象，工地配备自动化冲洗设施及车辆未冲洗抓拍设备或视频监控，并将相关数据推送至住建主管部门。</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4.施工现场地面100%硬化。路面采用现浇混凝土浇筑、可周转使用的预制板拼制等不易起尘的硬化方式。路面、路牙边等无污渍、积尘，路面保持整洁，见本色。</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5.工地100%湿法作业。工地配备可覆盖全部易起尘作业范围的自动喷淋或雾炮设施；土方开挖、清运建筑垃圾等易起尘作业时，采取洒水、喷淋等湿法作业。</w:t>
      </w:r>
    </w:p>
    <w:p>
      <w:pPr>
        <w:adjustRightInd w:val="0"/>
        <w:snapToGrid w:val="0"/>
        <w:spacing w:line="560" w:lineRule="exact"/>
        <w:ind w:firstLine="640" w:firstLineChars="200"/>
        <w:contextualSpacing/>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6.渣土车辆100%密闭运输。散装建筑材料、建筑垃圾、土方、砂石运输车辆100%密闭运输，无车辆超载和抛洒滴漏等问题。</w:t>
      </w:r>
    </w:p>
    <w:p>
      <w:pPr>
        <w:pStyle w:val="14"/>
        <w:adjustRightInd w:val="0"/>
        <w:snapToGrid w:val="0"/>
        <w:spacing w:line="560" w:lineRule="exact"/>
        <w:ind w:firstLine="640" w:firstLineChars="200"/>
        <w:contextualSpacing/>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四、工作措施</w:t>
      </w:r>
    </w:p>
    <w:p>
      <w:pPr>
        <w:pStyle w:val="14"/>
        <w:adjustRightInd w:val="0"/>
        <w:snapToGrid w:val="0"/>
        <w:spacing w:line="560" w:lineRule="exact"/>
        <w:ind w:firstLine="640" w:firstLineChars="200"/>
        <w:contextualSpacing/>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1.强化组织领导。各县区（功能板块）住建局要切实提高思想认识，强化组织领导、细化工作任务、严格工作要求，扎实开展房屋市政工程建筑工地扬尘防治巡查督查工作，确保完成空气质量改善目标。</w:t>
      </w:r>
    </w:p>
    <w:p>
      <w:pPr>
        <w:pStyle w:val="14"/>
        <w:adjustRightInd w:val="0"/>
        <w:snapToGrid w:val="0"/>
        <w:spacing w:line="560" w:lineRule="exact"/>
        <w:ind w:firstLine="640" w:firstLineChars="200"/>
        <w:contextualSpacing/>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做好信息报送。请各县区（功能板块）住建局明确1名联络员负责信息报送工作，于4月12日前报送联络员名单。每月23日前报送本月检查情况汇总表和工作动态信息。（联系人：孟园园，电话：0518-85876769，邮箱：lygjsjycb@163.com）。</w:t>
      </w:r>
    </w:p>
    <w:p>
      <w:pPr>
        <w:pStyle w:val="14"/>
        <w:adjustRightInd w:val="0"/>
        <w:snapToGrid w:val="0"/>
        <w:spacing w:line="560" w:lineRule="exact"/>
        <w:ind w:firstLine="640" w:firstLineChars="200"/>
        <w:contextualSpacing/>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严格问题交办整改。各县区（功能板块）住建局在建筑工地检查（巡查）过程中发现大气污染问题要求立行立改，多次整改不到位或拒不整改的，依法查处，并将扬尘防治工作不到位的不良信息纳入建筑市场信用管理体系，情节严重的，列入建筑市场主体“黑名单”。扬尘防治检查评定不合格的建筑工地一律停工整治，限期整改合格后方可复工。市住建局扬尘办将建立问题台账，明确问题整改完成时限，实行销号管理。对扬尘防治控制不力、不履行职责的建设、施工、监理单位，将进行全市通报，并按照相关法律法规实施相应处罚。</w:t>
      </w:r>
    </w:p>
    <w:p>
      <w:pPr>
        <w:pStyle w:val="14"/>
        <w:adjustRightInd w:val="0"/>
        <w:snapToGrid w:val="0"/>
        <w:spacing w:line="560" w:lineRule="exact"/>
        <w:contextualSpacing/>
        <w:rPr>
          <w:rFonts w:ascii="Times New Roman" w:hAnsi="Times New Roman" w:eastAsia="黑体" w:cs="Times New Roman"/>
          <w:sz w:val="32"/>
          <w:szCs w:val="32"/>
        </w:rPr>
        <w:sectPr>
          <w:pgSz w:w="11906" w:h="16838"/>
          <w:pgMar w:top="1928" w:right="1474" w:bottom="1361" w:left="1474" w:header="851" w:footer="992" w:gutter="0"/>
          <w:cols w:space="425" w:num="1"/>
          <w:docGrid w:type="lines" w:linePitch="312" w:charSpace="0"/>
        </w:sectPr>
      </w:pPr>
    </w:p>
    <w:p>
      <w:pPr>
        <w:pStyle w:val="14"/>
        <w:adjustRightInd w:val="0"/>
        <w:snapToGrid w:val="0"/>
        <w:spacing w:line="560" w:lineRule="exact"/>
        <w:contextualSpacing/>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pStyle w:val="14"/>
        <w:adjustRightInd w:val="0"/>
        <w:snapToGrid w:val="0"/>
        <w:spacing w:line="560" w:lineRule="exact"/>
        <w:contextualSpacing/>
        <w:rPr>
          <w:rFonts w:ascii="Times New Roman" w:hAnsi="Times New Roman" w:eastAsia="黑体" w:cs="Times New Roman"/>
          <w:sz w:val="32"/>
          <w:szCs w:val="32"/>
        </w:rPr>
      </w:pPr>
    </w:p>
    <w:p>
      <w:pPr>
        <w:pStyle w:val="14"/>
        <w:adjustRightInd w:val="0"/>
        <w:snapToGrid w:val="0"/>
        <w:spacing w:line="560" w:lineRule="exact"/>
        <w:contextualSpacing/>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XX县（区）住建局功能板块扬尘源排查整治台账</w:t>
      </w:r>
    </w:p>
    <w:p>
      <w:pPr>
        <w:pStyle w:val="14"/>
        <w:adjustRightInd w:val="0"/>
        <w:snapToGrid w:val="0"/>
        <w:spacing w:line="560" w:lineRule="exact"/>
        <w:contextualSpacing/>
        <w:jc w:val="center"/>
        <w:rPr>
          <w:rFonts w:ascii="Times New Roman" w:hAnsi="Times New Roman" w:eastAsia="方正小标宋_GBK" w:cs="Times New Roman"/>
          <w:sz w:val="44"/>
          <w:szCs w:val="44"/>
        </w:rPr>
      </w:pPr>
    </w:p>
    <w:tbl>
      <w:tblPr>
        <w:tblStyle w:val="9"/>
        <w:tblW w:w="15877" w:type="dxa"/>
        <w:tblInd w:w="-1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3"/>
        <w:gridCol w:w="1559"/>
        <w:gridCol w:w="1248"/>
        <w:gridCol w:w="850"/>
        <w:gridCol w:w="2268"/>
        <w:gridCol w:w="1276"/>
        <w:gridCol w:w="1276"/>
        <w:gridCol w:w="1701"/>
        <w:gridCol w:w="1417"/>
        <w:gridCol w:w="172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序号</w:t>
            </w:r>
          </w:p>
        </w:tc>
        <w:tc>
          <w:tcPr>
            <w:tcW w:w="993"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县区</w:t>
            </w:r>
          </w:p>
        </w:tc>
        <w:tc>
          <w:tcPr>
            <w:tcW w:w="1559"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扬尘源名称</w:t>
            </w:r>
          </w:p>
        </w:tc>
        <w:tc>
          <w:tcPr>
            <w:tcW w:w="1248"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类型</w:t>
            </w:r>
          </w:p>
        </w:tc>
        <w:tc>
          <w:tcPr>
            <w:tcW w:w="850"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地址</w:t>
            </w:r>
          </w:p>
        </w:tc>
        <w:tc>
          <w:tcPr>
            <w:tcW w:w="2268"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是否达到整治标准</w:t>
            </w:r>
          </w:p>
        </w:tc>
        <w:tc>
          <w:tcPr>
            <w:tcW w:w="1276"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存在问题</w:t>
            </w:r>
          </w:p>
        </w:tc>
        <w:tc>
          <w:tcPr>
            <w:tcW w:w="1276"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整改时限</w:t>
            </w:r>
          </w:p>
        </w:tc>
        <w:tc>
          <w:tcPr>
            <w:tcW w:w="1701"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整改责任单位</w:t>
            </w:r>
          </w:p>
        </w:tc>
        <w:tc>
          <w:tcPr>
            <w:tcW w:w="1417" w:type="dxa"/>
            <w:vAlign w:val="center"/>
          </w:tcPr>
          <w:p>
            <w:pPr>
              <w:pStyle w:val="14"/>
              <w:adjustRightInd w:val="0"/>
              <w:snapToGrid w:val="0"/>
              <w:spacing w:line="560" w:lineRule="exact"/>
              <w:contextualSpacing/>
              <w:rPr>
                <w:rFonts w:ascii="Times New Roman" w:hAnsi="Times New Roman" w:eastAsia="黑体" w:cs="Times New Roman"/>
                <w:sz w:val="24"/>
              </w:rPr>
            </w:pPr>
            <w:r>
              <w:rPr>
                <w:rFonts w:ascii="Times New Roman" w:hAnsi="Times New Roman" w:eastAsia="黑体" w:cs="Times New Roman"/>
                <w:sz w:val="24"/>
              </w:rPr>
              <w:t>整改责任人</w:t>
            </w:r>
          </w:p>
        </w:tc>
        <w:tc>
          <w:tcPr>
            <w:tcW w:w="1729"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是否完成整改</w:t>
            </w:r>
          </w:p>
        </w:tc>
        <w:tc>
          <w:tcPr>
            <w:tcW w:w="709" w:type="dxa"/>
            <w:vAlign w:val="center"/>
          </w:tcPr>
          <w:p>
            <w:pPr>
              <w:pStyle w:val="14"/>
              <w:adjustRightInd w:val="0"/>
              <w:snapToGrid w:val="0"/>
              <w:spacing w:line="560" w:lineRule="exact"/>
              <w:contextualSpacing/>
              <w:jc w:val="center"/>
              <w:rPr>
                <w:rFonts w:ascii="Times New Roman" w:hAnsi="Times New Roman" w:eastAsia="黑体" w:cs="Times New Roman"/>
                <w:sz w:val="24"/>
              </w:rPr>
            </w:pPr>
            <w:r>
              <w:rPr>
                <w:rFonts w:ascii="Times New Roman" w:hAnsi="Times New Roman" w:eastAsia="黑体"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993"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r>
              <w:rPr>
                <w:rFonts w:ascii="Times New Roman" w:hAnsi="Times New Roman" w:eastAsia="仿宋_GB2312" w:cs="Times New Roman"/>
                <w:sz w:val="24"/>
              </w:rPr>
              <w:t>东海县</w:t>
            </w:r>
          </w:p>
        </w:tc>
        <w:tc>
          <w:tcPr>
            <w:tcW w:w="1559"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1248"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r>
              <w:rPr>
                <w:rFonts w:ascii="Times New Roman" w:hAnsi="Times New Roman" w:eastAsia="仿宋_GB2312" w:cs="Times New Roman"/>
                <w:sz w:val="24"/>
              </w:rPr>
              <w:t>建筑工地、市政工程</w:t>
            </w:r>
          </w:p>
        </w:tc>
        <w:tc>
          <w:tcPr>
            <w:tcW w:w="850"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2268"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r>
              <w:rPr>
                <w:rFonts w:ascii="Times New Roman" w:hAnsi="Times New Roman" w:eastAsia="仿宋_GB2312" w:cs="Times New Roman"/>
                <w:sz w:val="24"/>
              </w:rPr>
              <w:t>是/否</w:t>
            </w: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1701"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1417"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1729"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c>
          <w:tcPr>
            <w:tcW w:w="709" w:type="dxa"/>
            <w:vAlign w:val="center"/>
          </w:tcPr>
          <w:p>
            <w:pPr>
              <w:pStyle w:val="14"/>
              <w:adjustRightInd w:val="0"/>
              <w:snapToGrid w:val="0"/>
              <w:spacing w:line="560" w:lineRule="exact"/>
              <w:contextualSpacing/>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993"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55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4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850"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226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0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417"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2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70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993"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55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4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850"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226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0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417"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2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70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993"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55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4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850"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226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0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417"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2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70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993"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55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4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850"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2268"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276"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01"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417"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172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c>
          <w:tcPr>
            <w:tcW w:w="709" w:type="dxa"/>
            <w:vAlign w:val="center"/>
          </w:tcPr>
          <w:p>
            <w:pPr>
              <w:pStyle w:val="14"/>
              <w:adjustRightInd w:val="0"/>
              <w:snapToGrid w:val="0"/>
              <w:spacing w:line="560" w:lineRule="exact"/>
              <w:contextualSpacing/>
              <w:jc w:val="center"/>
              <w:rPr>
                <w:rFonts w:ascii="Times New Roman" w:hAnsi="Times New Roman" w:eastAsia="仿宋_GB2312" w:cs="Times New Roman"/>
                <w:sz w:val="28"/>
                <w:szCs w:val="28"/>
              </w:rPr>
            </w:pPr>
          </w:p>
        </w:tc>
      </w:tr>
    </w:tbl>
    <w:p>
      <w:pPr>
        <w:pStyle w:val="14"/>
        <w:adjustRightInd w:val="0"/>
        <w:snapToGrid w:val="0"/>
        <w:spacing w:line="560" w:lineRule="exact"/>
        <w:contextualSpacing/>
        <w:rPr>
          <w:rFonts w:ascii="Times New Roman" w:hAnsi="Times New Roman" w:eastAsia="黑体" w:cs="Times New Roman"/>
          <w:sz w:val="32"/>
          <w:szCs w:val="32"/>
        </w:rPr>
      </w:pPr>
    </w:p>
    <w:p>
      <w:pPr>
        <w:pStyle w:val="14"/>
        <w:adjustRightInd w:val="0"/>
        <w:snapToGrid w:val="0"/>
        <w:spacing w:line="560" w:lineRule="exact"/>
        <w:ind w:firstLine="622"/>
        <w:contextualSpacing/>
        <w:rPr>
          <w:rFonts w:ascii="Times New Roman" w:hAnsi="Times New Roman" w:eastAsia="仿宋" w:cs="Times New Roman"/>
          <w:sz w:val="32"/>
          <w:szCs w:val="32"/>
        </w:rPr>
      </w:pPr>
    </w:p>
    <w:p>
      <w:pPr>
        <w:spacing w:line="600" w:lineRule="exact"/>
        <w:rPr>
          <w:szCs w:val="21"/>
        </w:rPr>
      </w:pP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720" w:num="1"/>
      <w:docGrid w:type="line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pyB9wBAAC+AwAADgAAAGRycy9lMm9Eb2MueG1srVPNjtMwEL4j8Q6W&#10;7zRph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upyB9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- 6 -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3qLtwBAAC+AwAADgAAAGRycy9lMm9Eb2MueG1srVPNjtMwEL4j8Q6W&#10;7zTZSqA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h3qLt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- 6 -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1E3780"/>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4C6F"/>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073C"/>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DF7BD3"/>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38E258ED"/>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0"/>
    <w:pPr>
      <w:spacing w:after="120"/>
    </w:pPr>
  </w:style>
  <w:style w:type="paragraph" w:styleId="3">
    <w:name w:val="Body Text Indent"/>
    <w:basedOn w:val="1"/>
    <w:qFormat/>
    <w:uiPriority w:val="0"/>
    <w:pPr>
      <w:ind w:firstLine="720" w:firstLineChars="200"/>
    </w:pPr>
    <w:rPr>
      <w:rFonts w:ascii="黑体" w:eastAsia="黑体"/>
      <w:sz w:val="36"/>
      <w:szCs w:val="32"/>
    </w:rPr>
  </w:style>
  <w:style w:type="paragraph" w:styleId="4">
    <w:name w:val="Balloon Text"/>
    <w:basedOn w:val="1"/>
    <w:link w:val="16"/>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99"/>
    <w:rPr>
      <w:kern w:val="2"/>
      <w:sz w:val="18"/>
      <w:szCs w:val="18"/>
    </w:rPr>
  </w:style>
  <w:style w:type="paragraph" w:customStyle="1" w:styleId="14">
    <w:name w:val="Body Text First Indent1"/>
    <w:basedOn w:val="2"/>
    <w:qFormat/>
    <w:uiPriority w:val="0"/>
    <w:pPr>
      <w:spacing w:after="0"/>
    </w:pPr>
    <w:rPr>
      <w:rFonts w:asciiTheme="minorHAnsi" w:hAnsiTheme="minorHAnsi" w:eastAsiaTheme="minorEastAsia" w:cstheme="minorBidi"/>
    </w:rPr>
  </w:style>
  <w:style w:type="character" w:customStyle="1" w:styleId="15">
    <w:name w:val="正文文本 Char"/>
    <w:basedOn w:val="10"/>
    <w:link w:val="2"/>
    <w:uiPriority w:val="0"/>
    <w:rPr>
      <w:kern w:val="2"/>
      <w:sz w:val="21"/>
      <w:szCs w:val="24"/>
    </w:rPr>
  </w:style>
  <w:style w:type="character" w:customStyle="1" w:styleId="16">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1850</Words>
  <Characters>1960</Characters>
  <Lines>52</Lines>
  <Paragraphs>14</Paragraphs>
  <TotalTime>17</TotalTime>
  <ScaleCrop>false</ScaleCrop>
  <LinksUpToDate>false</LinksUpToDate>
  <CharactersWithSpaces>2010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2022-04-07T06:56:15Z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1A72B9044945467FABF272C5E3879DF3</vt:lpwstr>
  </property>
</Properties>
</file>