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napToGrid/>
          <w:spacing w:val="0"/>
          <w:kern w:val="0"/>
          <w:sz w:val="32"/>
          <w:szCs w:val="32"/>
          <w:lang w:val="en-US" w:eastAsia="zh-CN"/>
        </w:rPr>
      </w:pPr>
      <w:bookmarkStart w:id="10" w:name="_GoBack"/>
      <w:r>
        <w:rPr>
          <w:rFonts w:hint="eastAsia" w:ascii="黑体" w:hAnsi="黑体" w:eastAsia="黑体" w:cs="黑体"/>
          <w:snapToGrid/>
          <w:spacing w:val="0"/>
          <w:kern w:val="0"/>
          <w:sz w:val="32"/>
          <w:szCs w:val="32"/>
          <w:lang w:val="en-US" w:eastAsia="zh-CN"/>
        </w:rPr>
        <w:t>附件</w:t>
      </w:r>
    </w:p>
    <w:bookmarkEnd w:id="1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40" w:firstLineChars="100"/>
        <w:jc w:val="both"/>
        <w:textAlignment w:val="auto"/>
        <w:rPr>
          <w:rFonts w:hint="eastAsia" w:ascii="方正小标宋_GBK" w:hAnsi="Times New Roman" w:eastAsia="方正小标宋_GBK"/>
          <w:kern w:val="2"/>
          <w:sz w:val="44"/>
          <w:szCs w:val="44"/>
          <w:lang w:val="en-US" w:eastAsia="zh-CN" w:bidi="ar-SA"/>
        </w:rPr>
      </w:pPr>
      <w:bookmarkStart w:id="0" w:name="heading_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Times New Roman" w:eastAsia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Times New Roman" w:eastAsia="方正小标宋_GBK"/>
          <w:kern w:val="2"/>
          <w:sz w:val="44"/>
          <w:szCs w:val="44"/>
          <w:lang w:val="en-US" w:eastAsia="zh-CN" w:bidi="ar-SA"/>
        </w:rPr>
        <w:t>连云港市招标投标协会行业自律监督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Times New Roman" w:eastAsia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Times New Roman" w:eastAsia="方正小标宋_GBK"/>
          <w:kern w:val="2"/>
          <w:sz w:val="44"/>
          <w:szCs w:val="44"/>
          <w:lang w:val="en-US" w:eastAsia="zh-CN" w:bidi="ar-SA"/>
        </w:rPr>
        <w:t>工作实施办法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640" w:firstLineChars="200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640" w:firstLineChars="200"/>
        <w:jc w:val="center"/>
        <w:textAlignment w:val="auto"/>
        <w:outlineLvl w:val="1"/>
        <w:rPr>
          <w:rFonts w:ascii="黑体" w:hAnsi="黑体" w:eastAsia="黑体" w:cs="黑体"/>
          <w:b w:val="0"/>
          <w:bCs/>
          <w:szCs w:val="32"/>
        </w:rPr>
      </w:pPr>
      <w:r>
        <w:rPr>
          <w:rFonts w:hint="eastAsia" w:ascii="黑体" w:hAnsi="黑体" w:eastAsia="黑体" w:cs="黑体"/>
          <w:b w:val="0"/>
          <w:bCs/>
          <w:szCs w:val="32"/>
        </w:rPr>
        <w:t>第一章 总则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2"/>
          <w:szCs w:val="24"/>
        </w:rPr>
      </w:pPr>
      <w:bookmarkStart w:id="1" w:name="heading_1"/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/>
          <w:bCs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第一条</w:t>
      </w:r>
      <w:r>
        <w:rPr>
          <w:rFonts w:hint="eastAsia" w:ascii="Times New Roman" w:hAnsi="Times New Roman" w:eastAsia="仿宋_GB2312" w:cs="方正仿宋_GB2312"/>
          <w:b/>
          <w:bCs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</w:t>
      </w:r>
      <w:bookmarkEnd w:id="1"/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目的与依据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为规范连云港市工程招标代理行业市场秩序，整治恶性低价承揽业务、无序低价竞争市场乱象，防范执业质量下降、廉政风险等问题，依托协会行业自律监督工作组履职框架，制定规范的行业自律核查、违约处置实施办法，依据《江苏省招标投标条例》《江苏省社会信用条例》《连云港市招标投标协会章程》《连云港市工程招标代理行业自律公约》（连招协〔2026〕2号，以下简称“公约”）、《连云港市招标代理服务行业收费指导意见》（连招协〔2026〕1号）、《连云港市招标投标协会内部纠纷解决办法》等相关规定，结合行业自律监督工作职责，印发本办法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bookmarkStart w:id="2" w:name="heading_2"/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第二条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适用范围</w:t>
      </w:r>
      <w:bookmarkEnd w:id="2"/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cs="仿宋_GB2312"/>
          <w:kern w:val="2"/>
          <w:szCs w:val="32"/>
        </w:rPr>
      </w:pPr>
      <w:bookmarkStart w:id="3" w:name="heading_3"/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本办法适用于所有在连云港市从事工程招标代理活动并受《公约》约束的机构及其从业人员（以下简称“公约成员”）。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第三条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基本原则</w:t>
      </w:r>
      <w:bookmarkEnd w:id="3"/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1.客观公正原则：</w:t>
      </w:r>
      <w:bookmarkStart w:id="4" w:name="OLE_LINK4"/>
      <w:bookmarkStart w:id="5" w:name="OLE_LINK3"/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行业自律监督工作组</w:t>
      </w:r>
      <w:bookmarkEnd w:id="4"/>
      <w:bookmarkEnd w:id="5"/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核查取证、事实认定全程留痕，保障当事人陈述申辩权利；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2.教育优先原则：区分情节轻重，坚持自查整改、风险提醒前置；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3.程序完备原则：登记、调查、告知、异议、回访、归档全流程标准化；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4.惩戒适度原则：结合情节轻重、危害后果、整改配合情况分级处置；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5.协同联动原则：对内依托理事会决策，对外联动招标人、行业行政监管部门传递风险提示。</w:t>
      </w:r>
      <w:bookmarkStart w:id="6" w:name="heading_4"/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b w:val="0"/>
          <w:bCs/>
          <w:szCs w:val="32"/>
        </w:rPr>
      </w:pP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ascii="黑体" w:hAnsi="黑体" w:eastAsia="黑体" w:cs="黑体"/>
          <w:b w:val="0"/>
          <w:bCs/>
          <w:szCs w:val="32"/>
        </w:rPr>
      </w:pPr>
      <w:r>
        <w:rPr>
          <w:rFonts w:hint="eastAsia" w:ascii="黑体" w:hAnsi="黑体" w:eastAsia="黑体" w:cs="黑体"/>
          <w:b w:val="0"/>
          <w:bCs/>
          <w:szCs w:val="32"/>
        </w:rPr>
        <w:t>第二章 工作机构及岗位职责</w:t>
      </w:r>
      <w:bookmarkEnd w:id="6"/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2"/>
          <w:szCs w:val="32"/>
        </w:rPr>
      </w:pPr>
      <w:bookmarkStart w:id="7" w:name="heading_5"/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第四条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行业自律监督工作组</w:t>
      </w:r>
      <w:bookmarkEnd w:id="7"/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经协会理事会审议通过，成立行业自律监督工作组。该工作组主要承担行业投诉受理、核查、整改、调解、处置及督促整改等实务工作。工作组的主要职责如下：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1.统一受理违规执业、纠纷、低价竞争等各类线索，规范管理、登记台账等日常管理工作；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2.依规开展核查、调查、问询等工作，遵循回避原则；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3.组织行业自律检查，并针对收费情况开展专项排查，重点关注异常低价项目中可能存在的各类隐性违规情形，督促公约成员自查自纠、合规执业；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4.调解行业内部纠纷，畅通公约成员诉求反映渠道，维护行业良性经营秩序；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5.对核查完毕的事项形成书面报告，提出分级处置建议，报请理事会审议；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6.落实理事会决议，开展风险通报、诚信档案调整、风险名单管理等闭环管理工作；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7.定期梳理行业风险情况，发布内部风险预警，向招标人及行业监管部门报送风险提示；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8.负责公约成员诚信修复申请的初审与核查工作，出具核查意见；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9.收集整理所有核查、处置、回访相关材料，统一立卷归档，确保工作留痕。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bookmarkStart w:id="8" w:name="heading_6"/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第五条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协会理事会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理事会是本办法规定的所有自律处置事项的最终决策机构，职责如下：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1.审议自律监督工作组提交的核查报告、相关证据材料及分级处置建议；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2.对下调诚信等级、列入行业风险名单等较严重自律处置事项进行专项表决；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3.复核当事人提交的书面异议申请，作出最终复核决定；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4.审议会员诚信修复申请，就是否移出行业风险名单进行表决；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5.负责本办法修订、废止等重要事项的审定工作。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</w:p>
    <w:bookmarkEnd w:id="8"/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Cs w:val="32"/>
        </w:rPr>
      </w:pP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jc w:val="center"/>
        <w:textAlignment w:val="auto"/>
        <w:outlineLvl w:val="1"/>
        <w:rPr>
          <w:rFonts w:hint="eastAsia" w:ascii="黑体" w:hAnsi="黑体" w:eastAsia="黑体" w:cs="黑体"/>
          <w:b w:val="0"/>
          <w:bCs/>
          <w:szCs w:val="32"/>
        </w:rPr>
      </w:pP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jc w:val="center"/>
        <w:textAlignment w:val="auto"/>
        <w:outlineLvl w:val="1"/>
        <w:rPr>
          <w:rFonts w:ascii="黑体" w:hAnsi="黑体" w:eastAsia="黑体" w:cs="黑体"/>
          <w:b w:val="0"/>
          <w:bCs/>
          <w:szCs w:val="32"/>
        </w:rPr>
      </w:pPr>
      <w:r>
        <w:rPr>
          <w:rFonts w:hint="eastAsia" w:ascii="黑体" w:hAnsi="黑体" w:eastAsia="黑体" w:cs="黑体"/>
          <w:b w:val="0"/>
          <w:bCs/>
          <w:szCs w:val="32"/>
        </w:rPr>
        <w:t>第三章 受理与处置程序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2"/>
          <w:szCs w:val="32"/>
        </w:rPr>
      </w:pP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第六条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启动渠道与受理方式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kern w:val="2"/>
          <w:szCs w:val="24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行业自律监督工作组通过以下两类渠道启动处置工作：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（一）投诉举报受理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工作组设立投诉电话、专用邮箱作为统一受理渠道，分类如下：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1.实名投诉。附带报价截图、招标（询价）文件等佐证材料，立即受理；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2.匿名投诉。附有明确项目信息及证据材料的，予以登记受理；无有效佐证材料的，仅存档备查，不予受理；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3.口头反映且无客观证据支持的线索仅作记录。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（二）日常监督与移交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工作组在日常行业自律监督工作中发现《公约》中明确的异常低价竞争等问题，或收到理事会、监事会移交的业务纠纷，可直接开展前置风险提醒或启动调查程序。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第七条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前置风险提醒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对仅存在低价风险、无正式投诉、未产生实质违规后果的单位，工作组以书面或电话方式发出风险提醒，列明低价执业可能带来的服务质量下降及合规风险，督促其限期自查自纠，并留存工作记录。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第八条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调查启动与权利告知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受理后3个工作日内，工作组安排两名及以上工作人员组成调查组，调查组中与当事人存在利害关系的人员应主动回避，当事人也可书面申请相关人员回避并说明理由。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调查组全面调取报价文件、代理合同、收费台账，约谈相关人员，制作询问笔录，固定相关证据形成证据链。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工作组书面告知当事人核查事由及陈述、申辩权利，如实记录。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调查结束后，工作组出具书面核查报告，列明事实、证据、风险提示及处置建议。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第九条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理事会审议与决议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工作组将核查材料及处置建议提请理事会，召开专题会议进行表决，形成决议。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理事会表决通过后，工作组在3个工作日内向当事人送达《自律处置告知书》，载明核查事实、处置依据、处置措施及异议申请期限。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同步在协会内部平台公示相关项目风险提示信息，客观披露低价及执业隐患。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第十条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跟踪管理与闭环机制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1.工作组建立异常低价项目台账，覆盖招标、合同签订、费用结算全流程；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2.处置文书送达后，工作组开展回访工作，核实收费情况及服务质量落实情况；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3.处置完毕后，材料统一归档，形成完整闭环。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第十一条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异议复核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当事人收到处置告知书后5个工作日内，可向工作组提交书面复核申请及佐证材料。工作组在5个工作日内整理复核材料报送理事会，理事会在10个工作日内作出最终复核决定。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 w:val="0"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ascii="黑体" w:hAnsi="黑体" w:eastAsia="黑体" w:cs="黑体"/>
          <w:kern w:val="2"/>
          <w:szCs w:val="32"/>
        </w:rPr>
      </w:pPr>
      <w:r>
        <w:rPr>
          <w:rFonts w:hint="eastAsia" w:ascii="黑体" w:hAnsi="黑体" w:eastAsia="黑体" w:cs="黑体"/>
          <w:kern w:val="2"/>
          <w:szCs w:val="32"/>
        </w:rPr>
        <w:t>第四章 认定与处置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 w:val="0"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" w:hAnsi="楷体" w:eastAsia="楷体" w:cs="楷体"/>
          <w:b/>
          <w:bCs/>
          <w:kern w:val="2"/>
          <w:szCs w:val="32"/>
        </w:rPr>
      </w:pP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bookmarkStart w:id="9" w:name="heading_16"/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第十二条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异常低价认定与分级处置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lang w:val="en-US" w:eastAsia="zh-CN" w:bidi="ar-SA"/>
        </w:rPr>
        <w:t>（一）</w:t>
      </w: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投标报价存在下列情形之一的视为异常低价，工作组应当启动异常低价核查：</w:t>
      </w:r>
    </w:p>
    <w:p>
      <w:pPr>
        <w:keepNext w:val="0"/>
        <w:keepLines w:val="0"/>
        <w:pageBreakBefore w:val="0"/>
        <w:widowControl w:val="0"/>
        <w:numPr>
          <w:ilvl w:val="1"/>
          <w:numId w:val="0"/>
        </w:numPr>
        <w:overflowPunct/>
        <w:autoSpaceDE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lang w:val="en-US" w:eastAsia="zh-CN" w:bidi="ar-SA"/>
        </w:rPr>
        <w:t>1.</w:t>
      </w: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投标报价低于公约和收费指导意见中标准的视同为异常价格；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2.项目投资额10万元（含）以上项目，代理服务费低于3000元的，</w:t>
      </w:r>
      <w:r>
        <w:rPr>
          <w:rFonts w:hint="eastAsia" w:ascii="Times New Roman" w:hAnsi="Times New Roman" w:eastAsia="仿宋_GB2312" w:cs="方正仿宋_GB2312"/>
          <w:snapToGrid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视为异常低价</w:t>
      </w: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；投资额10万元以下项目的服务费，不纳入行业自律监督范围。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（二）工作组综合违规频次、低于投标报价情形、是否存在隐性收费行为、行业影响程度、调查配合及整改态度等因素，将违规行为划分为四个等级：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1.轻微：首次出现报价低于投标报价情形，不存在阴阳合同、场外转嫁费用等不规范执业行为，未造成行业不良影响，且主动配合整改；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2.较轻：12个月内累计出现2次轻微行为，存在隐性条款，造成轻微的行业负面评价；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3.较重：12个月内累计3次及以上以低于投标报价情形承揽业务、提供虚假报价材料、消极对待核查，对行业经营秩序及整体声誉造成不良影响；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4.严重：12个月内多次以低于投标报价情形承揽业务，扰乱区域行业良性竞争秩序，存在执业质量及合规风险，经招投标行政监督部门风险提示后仍未整改到位，或纳入行业风险名单后再次出现同类违规行为，造成较大行业负面影响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第十三条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自律处置措施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（一）内部自律处置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1.约谈警示并责令提交书面整改承诺。适用于情形轻微的公约成员，由工作组约谈法定代表人或项目负责人，督促其限期报送整改材料，落实规范执业要求；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2.内部风险提示通报。适用于情形较轻的公约成员，由工作组在协会内部平台公示项目处置情况，公示期为3个月；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3.下调行业诚信等级。适用于情形较重的公约成员，由工作组动态更新公约成员诚信档案记录，同时公示其更新情况，公示期为6个月；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4.纳入行业风险名单并内部公示。适用于情形严重、拒不整改或整改不到位的公约成员。内部公示期限为12个月，由工作组全程监督，同时上报招投标行政监督部门。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（二）对外风险提示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1.向项目招标人发送《代理服务风险提示函》，客观说明报价偏低可能带来的执业质量及履约风险，建议审慎选择代理服务提供方，工作组留存送达回执；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2.针对情形较重及以上的违规主体，工作组整理完整核查材料，向招投标行政监督部门报送《行业风险提示函》，提请开展项目合规核查工作。 </w:t>
      </w:r>
      <w:bookmarkEnd w:id="9"/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0" w:firstLineChars="0"/>
        <w:jc w:val="center"/>
        <w:textAlignment w:val="auto"/>
        <w:outlineLvl w:val="1"/>
        <w:rPr>
          <w:rFonts w:hint="eastAsia" w:ascii="楷体" w:hAnsi="楷体" w:eastAsia="楷体" w:cs="楷体"/>
          <w:b/>
          <w:bCs/>
          <w:kern w:val="2"/>
          <w:szCs w:val="32"/>
        </w:rPr>
      </w:pPr>
      <w:r>
        <w:rPr>
          <w:rFonts w:hint="eastAsia" w:ascii="黑体" w:hAnsi="黑体" w:eastAsia="黑体" w:cs="黑体"/>
          <w:b w:val="0"/>
          <w:bCs/>
          <w:szCs w:val="32"/>
        </w:rPr>
        <w:t>第五章  附则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textAlignment w:val="auto"/>
        <w:rPr>
          <w:kern w:val="2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第十四条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诚信修复机制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被列入行业风险名单的公约成员，全面完成整改并提交完整申请材料，向行业自律监督工作组提交书面诚信修复申请，工作组收到申请后五个工作日内完成材料初审与核查，形成诚信修复初审意见，报理事会审议，经出席会议的理事三分之二以上表决通过后，予以移出行业风险名单，更新公约成员诚信档案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第十五条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解释权属</w:t>
      </w:r>
    </w:p>
    <w:p>
      <w:pPr>
        <w:ind w:firstLine="640" w:firstLineChars="200"/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本办法由连云港市招标投标协会行业自律监督工作组解释。</w:t>
      </w:r>
    </w:p>
    <w:p>
      <w:pPr>
        <w:keepNext w:val="0"/>
        <w:keepLines w:val="0"/>
        <w:pageBreakBefore w:val="0"/>
        <w:widowControl w:val="0"/>
        <w:overflowPunct/>
        <w:autoSpaceDE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>第十六条</w:t>
      </w:r>
      <w:r>
        <w:rPr>
          <w:rFonts w:hint="eastAsia" w:ascii="Times New Roman" w:hAnsi="Times New Roman" w:eastAsia="仿宋_GB2312" w:cs="方正仿宋_GB2312"/>
          <w:b w:val="0"/>
          <w:bCs w:val="0"/>
          <w:snapToGrid/>
          <w:spacing w:val="0"/>
          <w:kern w:val="0"/>
          <w:sz w:val="32"/>
          <w:szCs w:val="32"/>
          <w:highlight w:val="none"/>
          <w:lang w:val="en-US" w:eastAsia="zh-CN"/>
        </w:rPr>
        <w:t xml:space="preserve"> 施行日期</w:t>
      </w:r>
    </w:p>
    <w:p>
      <w:pPr>
        <w:ind w:firstLine="640" w:firstLineChars="200"/>
        <w:rPr>
          <w:rFonts w:hint="default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方正仿宋_GB2312"/>
          <w:snapToGrid/>
          <w:spacing w:val="0"/>
          <w:kern w:val="0"/>
          <w:sz w:val="32"/>
          <w:szCs w:val="32"/>
          <w:highlight w:val="none"/>
          <w:lang w:val="en-US" w:eastAsia="zh-CN"/>
        </w:rPr>
        <w:t>本办法经连云港市招标投标协会第六届理事会审议通过，自2026年8月21日起公布施行，与《连云港市工程招标代理行业自律公约》具有同等自律约束力。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20" w:rightChars="100"/>
      <w:jc w:val="right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745F4"/>
    <w:rsid w:val="03173CCE"/>
    <w:rsid w:val="180752F6"/>
    <w:rsid w:val="22B745F4"/>
    <w:rsid w:val="23233837"/>
    <w:rsid w:val="28D51DD9"/>
    <w:rsid w:val="3FFE66D5"/>
    <w:rsid w:val="53197FE9"/>
    <w:rsid w:val="582577E3"/>
    <w:rsid w:val="5F0E7CBE"/>
    <w:rsid w:val="63671D68"/>
    <w:rsid w:val="64902D80"/>
    <w:rsid w:val="66D025AB"/>
    <w:rsid w:val="6F34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3563</Words>
  <Characters>3638</Characters>
  <Lines>0</Lines>
  <Paragraphs>0</Paragraphs>
  <TotalTime>0</TotalTime>
  <ScaleCrop>false</ScaleCrop>
  <LinksUpToDate>false</LinksUpToDate>
  <CharactersWithSpaces>3683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2026-08-20T06:57:00Z</dcterms:created>
  <dc:creator>连云港市招标投标协会</dc:creator>
  <cp:lastModifiedBy>Administrator</cp:lastModifiedBy>
  <cp:lastPrinted>2026-08-21T08:26:00Z</cp:lastPrinted>
  <dcterms:modified xsi:type="dcterms:W3CDTF">2026-08-24T00:41:14Z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  <property fmtid="{D5CDD505-2E9C-101B-9397-08002B2CF9AE}" pid="3" name="ICV">
    <vt:lpwstr>FA026F47BB694146968DB5D3EB13AB72_13</vt:lpwstr>
  </property>
  <property fmtid="{D5CDD505-2E9C-101B-9397-08002B2CF9AE}" pid="4" name="KSOTemplateDocerSaveRecord">
    <vt:lpwstr>eyJoZGlkIjoiYjA1NTg2ZjMzMzM0ZmYzNWFmYjgzMWNlNDVlZmY2NjkiLCJ1c2VySWQiOiI0NjA1MzMyNzQifQ==</vt:lpwstr>
  </property>
</Properties>
</file>