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spacing w:line="560" w:lineRule="exact"/>
        <w:textAlignment w:val="auto"/>
        <w:rPr>
          <w:rFonts w:hint="default" w:ascii="Times New Roman" w:hAnsi="Times New Roman" w:eastAsia="黑体" w:cs="Times New Roman"/>
          <w:sz w:val="32"/>
          <w:szCs w:val="32"/>
          <w:lang w:val="en-US" w:eastAsia="zh-CN"/>
        </w:rPr>
      </w:pPr>
      <w:bookmarkStart w:id="0" w:name="_GoBack"/>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w:t>
      </w:r>
    </w:p>
    <w:bookmarkEnd w:id="0"/>
    <w:p>
      <w:pPr>
        <w:pStyle w:val="30"/>
        <w:keepNext w:val="0"/>
        <w:keepLines w:val="0"/>
        <w:pageBreakBefore w:val="0"/>
        <w:widowControl/>
        <w:suppressLineNumbers w:val="0"/>
        <w:kinsoku/>
        <w:wordWrap/>
        <w:overflowPunct/>
        <w:topLinePunct w:val="0"/>
        <w:bidi w:val="0"/>
        <w:snapToGrid/>
        <w:spacing w:before="0" w:beforeAutospacing="0" w:after="0" w:afterAutospacing="0" w:line="560" w:lineRule="exact"/>
        <w:ind w:left="0" w:right="0" w:firstLine="0"/>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连云港市关于推广住宅小区“保险+服务”电梯维修保险创新电梯安全运行的方案</w:t>
      </w:r>
    </w:p>
    <w:p>
      <w:pPr>
        <w:keepNext w:val="0"/>
        <w:keepLines w:val="0"/>
        <w:pageBreakBefore w:val="0"/>
        <w:kinsoku/>
        <w:wordWrap/>
        <w:overflowPunct/>
        <w:topLinePunct w:val="0"/>
        <w:bidi w:val="0"/>
        <w:snapToGrid/>
        <w:spacing w:line="560" w:lineRule="exact"/>
        <w:jc w:val="center"/>
        <w:textAlignment w:val="auto"/>
        <w:rPr>
          <w:rFonts w:hint="default" w:ascii="Times New Roman" w:hAnsi="Times New Roman" w:eastAsia="楷体_GB2312" w:cs="Times New Roman"/>
          <w:lang w:eastAsia="zh-CN"/>
        </w:rPr>
      </w:pPr>
      <w:r>
        <w:rPr>
          <w:rFonts w:hint="default" w:ascii="Times New Roman" w:hAnsi="Times New Roman" w:eastAsia="楷体_GB2312" w:cs="Times New Roman"/>
          <w:lang w:eastAsia="zh-CN"/>
        </w:rPr>
        <w:t>（征求意见稿）</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为积极探索住宅小区电梯维修保障机制，有效降低电梯安全风险，切实提升维修时效，依据《中华人民共和国民法典》《中华人民共和国住房和城乡建设部办公厅 财政部办公厅关于进一步发挥住宅专项维修资金在老旧小区和电梯更新改造中支持作用的通知》（建办房〔2015〕52号）等法律法规及文件要求，借鉴先进地区经验，制定本方案。</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rPr>
      </w:pPr>
      <w:r>
        <w:rPr>
          <w:rFonts w:hint="default" w:ascii="Times New Roman" w:hAnsi="Times New Roman" w:eastAsia="黑体" w:cs="Times New Roman"/>
        </w:rPr>
        <w:t>一、总体要求</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深入贯彻落实国家关于住宅小区电梯安全、维修资金管理及保险机制创新的决策部署，立足维护公共安全和保障业主权益，全面推广“电梯维修保险”。通过构建“保险+服务”市场化机制，切实提升我市物业维修使用效率和住宅小区电梯安全管理水平，有效保障居民安全出行需求。</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rPr>
      </w:pPr>
      <w:r>
        <w:rPr>
          <w:rFonts w:hint="default" w:ascii="Times New Roman" w:hAnsi="Times New Roman" w:eastAsia="黑体" w:cs="Times New Roman"/>
        </w:rPr>
        <w:t>二、主要措施</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一）鼓励搭建电梯风险管理平台。支持保险机构发挥技术优势，开发专业电梯管理软件。在电梯维修保险服务合同中明确保障范围、服务标准及权责义务，对参保电梯运行状况实施安全监测、数据分析和风险预警，提供专业技术支撑。督促维保单位提升维保质量，降低故障发生率。电梯风险管理平台与物业维修资金管理信息系统数据共享，最大化发挥维修资金对电梯安全运行的社会效益。</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二）支持拓宽保费来源渠道。严格执行《中华人民共和国民法典》关于“业主的建筑物区分所有权”规定，明确建筑区划内电梯属于单元或楼幢业主共有，相关业主依法享有使用权并承担维保维修义务。电梯维修保险费用可从维修资金（含统筹维修资金、电梯消防设施设备专项维修资金）、公共收益、社会捐赠等合法资金中列支，具体支付方式应在维修资金使用方案、管理规约或物业服务合同中予以约定。</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三）规范维修资金购买保险流程。申请使用维修资金购买电梯维修保险，小区已成立业主委员会（物业管理委员会）的，由业主委员会（物业管理委员会）作为维修资金申请人；未成立业主委员会（物业管理委员会）的，由社区居民委员会作为申请人；若社区居民委员会未及时提出申请，可由维修资金分摊范围内3名及以上业主联名作为申请人提出申请。单元或楼幢参保的，可使用业主交存的房屋本体维修资金及建设单位交存的电梯消防设施设备专项维修资金，参照维修资金一般使用程序办理；小区整体参保（惠及全体业主）的，可使用统筹维修资金，参照应急使用程序，采取“公示无异议”方式办理，不再另行组织业主表决，实现事后应急维修向事前风险防控、日常维保的转变。经规定程序公示无异议后，可申请资金拨付；公示期内若业主书面反对的，自动转入一般使用程序，充分保障业主自主权。</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四）有序推进购买“电梯维修保险”。各县（区）应组织全面摸排本辖区内住宅小区电梯，核查住宅小区维修资金交存及统筹资金分配情况，掌握住宅小区公共收益底数。物业管理主管部门对符合条件且有参保意愿的小区，重点开展政策指导，明确资金来源与实施路径，推动保险落地。同时，及时总结相关经验，在全市范围内进行交流推广，逐步建立和完善我市住宅小区电梯维保、维修和安全运行的长效机制。</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rPr>
      </w:pPr>
      <w:r>
        <w:rPr>
          <w:rFonts w:hint="default" w:ascii="Times New Roman" w:hAnsi="Times New Roman" w:eastAsia="黑体" w:cs="Times New Roman"/>
        </w:rPr>
        <w:t>三、组织保障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各单位要明确职责分工，建立协调机制，及时研究解决“电梯维修保险”推进过程中的难题。市住建部门负责统筹协调住宅小区购买“电梯维修保险”所涉及的相关工作。市场监管部门负责加强对电梯使用和维修保养的监管，支持推广“电梯维修保险”。国家金融监督管理总局连云港监督管理分局负责指导保险公司险种的开立，加强对保险机构的监督和管理，引导推进“电梯维修保险”工作的有序开展。各县（区）物业管理主管部门要联合街道社区组织开展“电梯维修保险”的宣传推广工作，指导使用维修资金购买“电梯维修保险”的相关工作。物业服务企业要全面掌握小区电梯基础数据，向保险公司提供详实资料，督促维保单位做好日常检修和电梯维保信息公示工作。</w:t>
      </w:r>
    </w:p>
    <w:p>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各相关单位要综合利用报刊、广播、电梯宣传栏及网络媒体，加强对电梯所有权人、使用管理人、维保单位的政策宣贯。在住宅小区公共区域及电梯轿厢显著位置张贴政策宣传材料；通过业主委员会（物业管理委员会）、物业公司及业主代表座谈会、政策答疑会等形式，确保业主充分知晓保险政策，营造全社会支持参与的良好环境。</w:t>
      </w:r>
    </w:p>
    <w:p>
      <w:pPr>
        <w:keepNext w:val="0"/>
        <w:keepLines w:val="0"/>
        <w:pageBreakBefore w:val="0"/>
        <w:kinsoku/>
        <w:wordWrap/>
        <w:overflowPunct/>
        <w:topLinePunct w:val="0"/>
        <w:bidi w:val="0"/>
        <w:snapToGrid/>
        <w:spacing w:line="56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br w:type="page"/>
      </w:r>
    </w:p>
    <w:p>
      <w:pPr>
        <w:keepNext w:val="0"/>
        <w:keepLines w:val="0"/>
        <w:pageBreakBefore w:val="0"/>
        <w:widowControl/>
        <w:kinsoku/>
        <w:wordWrap/>
        <w:overflowPunct/>
        <w:topLinePunct w:val="0"/>
        <w:autoSpaceDE/>
        <w:autoSpaceDN/>
        <w:bidi w:val="0"/>
        <w:adjustRightInd/>
        <w:snapToGrid/>
        <w:spacing w:after="0" w:line="560" w:lineRule="exact"/>
        <w:textAlignment w:val="auto"/>
        <w:rPr>
          <w:rFonts w:hint="default" w:ascii="Times New Roman" w:hAnsi="Times New Roman" w:cs="Times New Roman"/>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2</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drawing>
          <wp:inline distT="0" distB="0" distL="114300" distR="114300">
            <wp:extent cx="4302125" cy="7629525"/>
            <wp:effectExtent l="0" t="0" r="3175" b="9525"/>
            <wp:docPr id="1" name="图片 1" descr="9dbd819c44acea47e0edb91e46b6fa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dbd819c44acea47e0edb91e46b6fa3c"/>
                    <pic:cNvPicPr>
                      <a:picLocks noChangeAspect="1"/>
                    </pic:cNvPicPr>
                  </pic:nvPicPr>
                  <pic:blipFill>
                    <a:blip r:embed="rId4"/>
                    <a:stretch>
                      <a:fillRect/>
                    </a:stretch>
                  </pic:blipFill>
                  <pic:spPr>
                    <a:xfrm>
                      <a:off x="0" y="0"/>
                      <a:ext cx="4302125" cy="7629525"/>
                    </a:xfrm>
                    <a:prstGeom prst="rect">
                      <a:avLst/>
                    </a:prstGeom>
                  </pic:spPr>
                </pic:pic>
              </a:graphicData>
            </a:graphic>
          </wp:inline>
        </w:drawing>
      </w:r>
    </w:p>
    <w:sectPr>
      <w:pgSz w:w="11906" w:h="16838"/>
      <w:pgMar w:top="2098" w:right="1474" w:bottom="1984" w:left="1587" w:header="1134" w:footer="1247"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4FDF51-81D1-4830-AC47-C37C53BD30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ＭＳ 明朝">
    <w:altName w:val="MS Gothic"/>
    <w:panose1 w:val="00000000000000000000"/>
    <w:charset w:val="80"/>
    <w:family w:val="roman"/>
    <w:pitch w:val="default"/>
    <w:sig w:usb0="00000000" w:usb1="00000000" w:usb2="00000010" w:usb3="00000000" w:csb0="00020000" w:csb1="00000000"/>
  </w:font>
  <w:font w:name="汉仪中宋简">
    <w:altName w:val="宋体"/>
    <w:panose1 w:val="02010600000101010101"/>
    <w:charset w:val="80"/>
    <w:family w:val="auto"/>
    <w:pitch w:val="default"/>
    <w:sig w:usb0="00000000" w:usb1="00000000" w:usb2="00000012" w:usb3="00000000" w:csb0="00020001" w:csb1="00000000"/>
  </w:font>
  <w:font w:name="ＭＳ 明朝">
    <w:altName w:val="宋体"/>
    <w:panose1 w:val="00000000000000000000"/>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embedRegular r:id="rId2" w:fontKey="{A775BDEA-CFF2-4CA6-8B8C-BD91FF1B8003}"/>
  </w:font>
  <w:font w:name="Segoe UI">
    <w:panose1 w:val="020B0502040204020203"/>
    <w:charset w:val="00"/>
    <w:family w:val="auto"/>
    <w:pitch w:val="default"/>
    <w:sig w:usb0="E4002EFF" w:usb1="C000E47F" w:usb2="00000009" w:usb3="00000000" w:csb0="200001FF" w:csb1="00000000"/>
  </w:font>
  <w:font w:name="MS Gothic">
    <w:panose1 w:val="020B0609070205080204"/>
    <w:charset w:val="80"/>
    <w:family w:val="auto"/>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 w:name="Courier">
    <w:altName w:val="Courier New"/>
    <w:panose1 w:val="02000500000000000000"/>
    <w:charset w:val="00"/>
    <w:family w:val="auto"/>
    <w:pitch w:val="default"/>
    <w:sig w:usb0="00000000" w:usb1="00000000" w:usb2="00000000" w:usb3="00000000" w:csb0="00000001" w:csb1="00000000"/>
  </w:font>
  <w:font w:name="方正公文小标宋">
    <w:panose1 w:val="02000500000000000000"/>
    <w:charset w:val="86"/>
    <w:family w:val="auto"/>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embedRegular r:id="rId3" w:fontKey="{EE72EAEF-5AAC-4373-A910-FC1C09CAC35B}"/>
  </w:font>
  <w:font w:name="楷体_GB2312">
    <w:panose1 w:val="02010609030101010101"/>
    <w:charset w:val="86"/>
    <w:family w:val="auto"/>
    <w:pitch w:val="default"/>
    <w:sig w:usb0="00000001" w:usb1="080E0000" w:usb2="00000000" w:usb3="00000000" w:csb0="00040000" w:csb1="00000000"/>
    <w:embedRegular r:id="rId4" w:fontKey="{80637EF6-D9A8-4D44-B081-0E9A07D018D5}"/>
  </w:font>
  <w:font w:name="ＭＳ 明朝">
    <w:altName w:val="宋体"/>
    <w:panose1 w:val="00000000000000000000"/>
    <w:charset w:val="86"/>
    <w:family w:val="auto"/>
    <w:pitch w:val="default"/>
    <w:sig w:usb0="00000000" w:usb1="00000000" w:usb2="00000000" w:usb3="00000000" w:csb0="00000000" w:csb1="00000000"/>
  </w:font>
  <w:font w:name="KSOF1D5EAB94">
    <w:altName w:val="Segoe UI Semibold"/>
    <w:panose1 w:val="020B0802040204020203"/>
    <w:charset w:val="00"/>
    <w:family w:val="auto"/>
    <w:pitch w:val="default"/>
    <w:sig w:usb0="00000000" w:usb1="00000000" w:usb2="00000000" w:usb3="00000000" w:csb0="00000001" w:csb1="00000000"/>
  </w:font>
  <w:font w:name="KSOF05F18DD2">
    <w:altName w:val="Segoe Print"/>
    <w:panose1 w:val="020B0802040204090203"/>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UI Semibold">
    <w:panose1 w:val="020B07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A315D29"/>
    <w:rsid w:val="0ED84FB3"/>
    <w:rsid w:val="1E202E13"/>
    <w:rsid w:val="23647414"/>
    <w:rsid w:val="324F377F"/>
    <w:rsid w:val="3C52529A"/>
    <w:rsid w:val="3E463BB5"/>
    <w:rsid w:val="5962599A"/>
    <w:rsid w:val="61475B62"/>
    <w:rsid w:val="75C667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32"/>
      <w:szCs w:val="22"/>
      <w:lang w:val="en-US" w:eastAsia="en-US" w:bidi="ar-SA"/>
    </w:rPr>
  </w:style>
  <w:style w:type="paragraph" w:styleId="2">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1"/>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2"/>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3"/>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4"/>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5"/>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6"/>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3">
    <w:name w:val="Default Paragraph Font"/>
    <w:unhideWhenUsed/>
    <w:qFormat/>
    <w:uiPriority w:val="1"/>
  </w:style>
  <w:style w:type="table" w:default="1" w:styleId="36">
    <w:name w:val="Normal Table"/>
    <w:unhideWhenUsed/>
    <w:qFormat/>
    <w:uiPriority w:val="99"/>
    <w:tblPr>
      <w:tblLayout w:type="fixed"/>
      <w:tblCellMar>
        <w:top w:w="0" w:type="dxa"/>
        <w:left w:w="108" w:type="dxa"/>
        <w:bottom w:w="0" w:type="dxa"/>
        <w:right w:w="108" w:type="dxa"/>
      </w:tblCellMar>
    </w:tblPr>
  </w:style>
  <w:style w:type="paragraph" w:styleId="11">
    <w:name w:val="List 3"/>
    <w:basedOn w:val="1"/>
    <w:unhideWhenUsed/>
    <w:qFormat/>
    <w:uiPriority w:val="99"/>
    <w:pPr>
      <w:ind w:left="1080" w:hanging="360"/>
      <w:contextualSpacing/>
    </w:pPr>
  </w:style>
  <w:style w:type="paragraph" w:styleId="12">
    <w:name w:val="List Number 2"/>
    <w:basedOn w:val="1"/>
    <w:unhideWhenUsed/>
    <w:qFormat/>
    <w:uiPriority w:val="99"/>
    <w:pPr>
      <w:numPr>
        <w:ilvl w:val="0"/>
        <w:numId w:val="1"/>
      </w:numPr>
      <w:contextualSpacing/>
    </w:pPr>
  </w:style>
  <w:style w:type="paragraph" w:styleId="13">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Number"/>
    <w:basedOn w:val="1"/>
    <w:unhideWhenUsed/>
    <w:qFormat/>
    <w:uiPriority w:val="99"/>
    <w:pPr>
      <w:numPr>
        <w:ilvl w:val="0"/>
        <w:numId w:val="2"/>
      </w:numPr>
      <w:contextualSpacing/>
    </w:pPr>
  </w:style>
  <w:style w:type="paragraph" w:styleId="15">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4">
    <w:name w:val="Strong"/>
    <w:basedOn w:val="33"/>
    <w:qFormat/>
    <w:uiPriority w:val="22"/>
    <w:rPr>
      <w:b/>
      <w:bCs/>
    </w:rPr>
  </w:style>
  <w:style w:type="character" w:styleId="35">
    <w:name w:val="Emphasis"/>
    <w:basedOn w:val="33"/>
    <w:qFormat/>
    <w:uiPriority w:val="20"/>
    <w:rPr>
      <w:i/>
      <w:iCs/>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6">
    <w:name w:val="Header Char"/>
    <w:basedOn w:val="33"/>
    <w:link w:val="25"/>
    <w:qFormat/>
    <w:uiPriority w:val="99"/>
  </w:style>
  <w:style w:type="character" w:customStyle="1" w:styleId="137">
    <w:name w:val="Footer Char"/>
    <w:basedOn w:val="33"/>
    <w:link w:val="24"/>
    <w:qFormat/>
    <w:uiPriority w:val="99"/>
  </w:style>
  <w:style w:type="paragraph" w:customStyle="1"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33"/>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33"/>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33"/>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4">
    <w:name w:val="List Paragraph"/>
    <w:basedOn w:val="1"/>
    <w:qFormat/>
    <w:uiPriority w:val="34"/>
    <w:pPr>
      <w:ind w:left="720"/>
      <w:contextualSpacing/>
    </w:pPr>
  </w:style>
  <w:style w:type="character" w:customStyle="1" w:styleId="145">
    <w:name w:val="Body Text Char"/>
    <w:basedOn w:val="33"/>
    <w:link w:val="19"/>
    <w:qFormat/>
    <w:uiPriority w:val="99"/>
  </w:style>
  <w:style w:type="character" w:customStyle="1" w:styleId="146">
    <w:name w:val="Body Text 2 Char"/>
    <w:basedOn w:val="33"/>
    <w:link w:val="28"/>
    <w:qFormat/>
    <w:uiPriority w:val="99"/>
  </w:style>
  <w:style w:type="character" w:customStyle="1" w:styleId="147">
    <w:name w:val="Body Text 3 Char"/>
    <w:basedOn w:val="33"/>
    <w:link w:val="17"/>
    <w:qFormat/>
    <w:uiPriority w:val="99"/>
    <w:rPr>
      <w:sz w:val="16"/>
      <w:szCs w:val="16"/>
    </w:rPr>
  </w:style>
  <w:style w:type="character" w:customStyle="1" w:styleId="148">
    <w:name w:val="Macro Text Char"/>
    <w:basedOn w:val="33"/>
    <w:link w:val="13"/>
    <w:qFormat/>
    <w:uiPriority w:val="99"/>
    <w:rPr>
      <w:rFonts w:ascii="Courier" w:hAnsi="Courier"/>
      <w:sz w:val="20"/>
      <w:szCs w:val="20"/>
    </w:rPr>
  </w:style>
  <w:style w:type="paragraph" w:customStyle="1"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33"/>
    <w:link w:val="149"/>
    <w:qFormat/>
    <w:uiPriority w:val="29"/>
    <w:rPr>
      <w:i/>
      <w:iCs/>
      <w:color w:val="000000" w:themeColor="text1"/>
      <w14:textFill>
        <w14:solidFill>
          <w14:schemeClr w14:val="tx1"/>
        </w14:solidFill>
      </w14:textFill>
    </w:rPr>
  </w:style>
  <w:style w:type="character" w:customStyle="1" w:styleId="151">
    <w:name w:val="Heading 4 Char"/>
    <w:basedOn w:val="33"/>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33"/>
    <w:link w:val="6"/>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33"/>
    <w:link w:val="7"/>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33"/>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33"/>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33"/>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33"/>
    <w:link w:val="157"/>
    <w:qFormat/>
    <w:uiPriority w:val="30"/>
    <w:rPr>
      <w:b/>
      <w:bCs/>
      <w:i/>
      <w:iCs/>
      <w:color w:val="4F81BD" w:themeColor="accent1"/>
      <w14:textFill>
        <w14:solidFill>
          <w14:schemeClr w14:val="accent1"/>
        </w14:solidFill>
      </w14:textFill>
    </w:rPr>
  </w:style>
  <w:style w:type="character" w:customStyle="1" w:styleId="159">
    <w:name w:val="Subtle Emphasis"/>
    <w:basedOn w:val="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33"/>
    <w:qFormat/>
    <w:uiPriority w:val="21"/>
    <w:rPr>
      <w:b/>
      <w:bCs/>
      <w:i/>
      <w:iCs/>
      <w:color w:val="4F81BD" w:themeColor="accent1"/>
      <w14:textFill>
        <w14:solidFill>
          <w14:schemeClr w14:val="accent1"/>
        </w14:solidFill>
      </w14:textFill>
    </w:rPr>
  </w:style>
  <w:style w:type="character" w:customStyle="1" w:styleId="161">
    <w:name w:val="Subtle Reference"/>
    <w:basedOn w:val="33"/>
    <w:qFormat/>
    <w:uiPriority w:val="31"/>
    <w:rPr>
      <w:smallCaps/>
      <w:color w:val="C0504D" w:themeColor="accent2"/>
      <w:u w:val="single"/>
      <w14:textFill>
        <w14:solidFill>
          <w14:schemeClr w14:val="accent2"/>
        </w14:solidFill>
      </w14:textFill>
    </w:rPr>
  </w:style>
  <w:style w:type="character" w:customStyle="1" w:styleId="162">
    <w:name w:val="Intense Reference"/>
    <w:basedOn w:val="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33"/>
    <w:qFormat/>
    <w:uiPriority w:val="33"/>
    <w:rPr>
      <w:b/>
      <w:bCs/>
      <w:smallCaps/>
      <w:spacing w:val="5"/>
    </w:rPr>
  </w:style>
  <w:style w:type="paragraph" w:customStyle="1" w:styleId="164">
    <w:name w:val="TOC Heading"/>
    <w:basedOn w:val="2"/>
    <w:next w:val="1"/>
    <w:unhideWhenUsed/>
    <w:qFormat/>
    <w:uiPriority w:val="39"/>
    <w:pPr>
      <w:outlineLvl w:val="9"/>
    </w:pPr>
  </w:style>
  <w:style w:type="character" w:customStyle="1" w:styleId="165">
    <w:name w:val="NormalCharacter"/>
    <w:qFormat/>
    <w:uiPriority w:val="0"/>
    <w:rPr>
      <w:rFonts w:eastAsia="仿宋_GB2312"/>
      <w:kern w:val="2"/>
      <w:sz w:val="32"/>
      <w:lang w:val="en-US" w:eastAsia="zh-CN" w:bidi="ar-SA"/>
    </w:rPr>
  </w:style>
  <w:style w:type="paragraph" w:customStyle="1" w:styleId="166">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437</Words>
  <Characters>457</Characters>
  <Lines>0</Lines>
  <Paragraphs>0</Paragraphs>
  <TotalTime>0</TotalTime>
  <ScaleCrop>false</ScaleCrop>
  <LinksUpToDate>false</LinksUpToDate>
  <CharactersWithSpaces>457</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2026-10-26T03:56:00Z</cp:lastPrinted>
  <dcterms:modified xsi:type="dcterms:W3CDTF">2026-10-28T01:22:29Z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eyJoZGlkIjoiZWY0Mzk2NDk5MmM1ODI2ZDM1M2YyMjI5Mjg0ZTYwZDEiLCJ1c2VySWQiOiI4NTkxNjcxMDQifQ==</vt:lpwstr>
  </property>
  <property fmtid="{D5CDD505-2E9C-101B-9397-08002B2CF9AE}" pid="3" name="KSOProductBuildVer">
    <vt:lpwstr>2052-10.1.0.6876</vt:lpwstr>
  </property>
  <property fmtid="{D5CDD505-2E9C-101B-9397-08002B2CF9AE}" pid="4" name="ICV">
    <vt:lpwstr>FF28AE41B2274497965F14862327630A_13</vt:lpwstr>
  </property>
</Properties>
</file>