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cs="宋体"/>
          <w:sz w:val="52"/>
          <w:szCs w:val="52"/>
        </w:rPr>
      </w:pPr>
    </w:p>
    <w:p>
      <w:pPr>
        <w:ind w:firstLine="0" w:firstLineChars="0"/>
        <w:jc w:val="center"/>
        <w:rPr>
          <w:rFonts w:ascii="宋体" w:hAnsi="宋体" w:cs="宋体"/>
          <w:sz w:val="52"/>
          <w:szCs w:val="52"/>
        </w:rPr>
      </w:pPr>
    </w:p>
    <w:p>
      <w:pPr>
        <w:ind w:firstLine="0" w:firstLineChars="0"/>
        <w:jc w:val="center"/>
        <w:rPr>
          <w:rFonts w:ascii="宋体" w:hAnsi="宋体" w:cs="宋体"/>
          <w:sz w:val="52"/>
          <w:szCs w:val="52"/>
        </w:rPr>
      </w:pPr>
    </w:p>
    <w:p>
      <w:pPr>
        <w:ind w:firstLine="0" w:firstLineChars="0"/>
        <w:jc w:val="center"/>
        <w:rPr>
          <w:rFonts w:ascii="宋体" w:hAnsi="宋体" w:cs="宋体"/>
          <w:sz w:val="52"/>
          <w:szCs w:val="52"/>
        </w:rPr>
      </w:pPr>
      <w:r>
        <w:rPr>
          <w:rFonts w:hint="eastAsia" w:ascii="方正小标宋_GBK" w:hAnsi="宋体" w:eastAsia="方正小标宋_GBK" w:cs="宋体"/>
          <w:sz w:val="52"/>
          <w:szCs w:val="52"/>
        </w:rPr>
        <w:t>连云港市住房和城乡建设局</w:t>
      </w:r>
    </w:p>
    <w:p>
      <w:pPr>
        <w:ind w:firstLine="0" w:firstLineChars="0"/>
        <w:jc w:val="center"/>
        <w:rPr>
          <w:rFonts w:ascii="方正小标宋_GBK" w:hAnsi="宋体" w:eastAsia="方正小标宋_GBK" w:cs="宋体"/>
          <w:sz w:val="52"/>
          <w:szCs w:val="52"/>
        </w:rPr>
      </w:pPr>
      <w:r>
        <w:rPr>
          <w:rFonts w:hint="eastAsia" w:ascii="方正小标宋_GBK" w:hAnsi="宋体" w:eastAsia="方正小标宋_GBK" w:cs="宋体"/>
          <w:sz w:val="52"/>
          <w:szCs w:val="52"/>
        </w:rPr>
        <w:t>整体绩效评价报告</w:t>
      </w:r>
    </w:p>
    <w:p>
      <w:pPr>
        <w:ind w:firstLine="0" w:firstLineChars="0"/>
        <w:jc w:val="center"/>
        <w:rPr>
          <w:rFonts w:ascii="宋体" w:hAnsi="宋体" w:cs="宋体"/>
          <w:sz w:val="52"/>
          <w:szCs w:val="52"/>
        </w:rPr>
      </w:pPr>
    </w:p>
    <w:p>
      <w:pPr>
        <w:ind w:firstLine="0" w:firstLineChars="0"/>
        <w:jc w:val="center"/>
        <w:rPr>
          <w:rFonts w:ascii="宋体" w:hAnsi="宋体" w:cs="宋体"/>
          <w:sz w:val="52"/>
          <w:szCs w:val="52"/>
        </w:rPr>
      </w:pPr>
    </w:p>
    <w:p>
      <w:pPr>
        <w:ind w:firstLine="1040"/>
        <w:jc w:val="center"/>
        <w:rPr>
          <w:rFonts w:ascii="宋体" w:hAnsi="宋体" w:cs="宋体"/>
          <w:sz w:val="52"/>
          <w:szCs w:val="52"/>
        </w:rPr>
      </w:pPr>
    </w:p>
    <w:p>
      <w:pPr>
        <w:ind w:firstLine="1040"/>
        <w:jc w:val="center"/>
        <w:rPr>
          <w:rFonts w:ascii="宋体" w:hAnsi="宋体" w:cs="宋体"/>
          <w:sz w:val="52"/>
          <w:szCs w:val="52"/>
        </w:rPr>
      </w:pPr>
    </w:p>
    <w:p>
      <w:pPr>
        <w:ind w:firstLine="1040"/>
        <w:rPr>
          <w:rFonts w:ascii="宋体" w:hAnsi="宋体" w:cs="宋体"/>
          <w:sz w:val="52"/>
          <w:szCs w:val="52"/>
        </w:rPr>
      </w:pPr>
    </w:p>
    <w:p>
      <w:pPr>
        <w:ind w:firstLine="1040"/>
        <w:rPr>
          <w:rFonts w:ascii="宋体" w:hAnsi="宋体" w:cs="宋体"/>
          <w:sz w:val="52"/>
          <w:szCs w:val="52"/>
        </w:rPr>
      </w:pPr>
    </w:p>
    <w:p>
      <w:pPr>
        <w:ind w:firstLine="1040"/>
        <w:rPr>
          <w:rFonts w:ascii="宋体" w:hAnsi="宋体" w:cs="宋体"/>
          <w:sz w:val="52"/>
          <w:szCs w:val="52"/>
        </w:rPr>
      </w:pPr>
    </w:p>
    <w:p>
      <w:pPr>
        <w:ind w:firstLine="0" w:firstLineChars="0"/>
        <w:jc w:val="right"/>
        <w:rPr>
          <w:szCs w:val="28"/>
        </w:rPr>
      </w:pPr>
      <w:r>
        <w:rPr>
          <w:rFonts w:hint="eastAsia"/>
          <w:szCs w:val="28"/>
        </w:rPr>
        <w:t>评价单位：连云港市住房和城乡建设局</w:t>
      </w:r>
    </w:p>
    <w:p>
      <w:pPr>
        <w:ind w:firstLine="0" w:firstLineChars="0"/>
        <w:jc w:val="right"/>
      </w:pPr>
      <w:r>
        <w:rPr>
          <w:rFonts w:hint="eastAsia"/>
          <w:szCs w:val="28"/>
        </w:rPr>
        <w:t>报告时间：二零二</w:t>
      </w:r>
      <w:r>
        <w:rPr>
          <w:rFonts w:hint="eastAsia"/>
          <w:szCs w:val="28"/>
          <w:lang w:val="en-US" w:eastAsia="zh-CN"/>
        </w:rPr>
        <w:t>三</w:t>
      </w:r>
      <w:r>
        <w:rPr>
          <w:rFonts w:hint="eastAsia"/>
          <w:szCs w:val="28"/>
        </w:rPr>
        <w:t>年</w:t>
      </w:r>
      <w:r>
        <w:rPr>
          <w:rFonts w:hint="eastAsia"/>
          <w:szCs w:val="28"/>
          <w:lang w:val="en-US" w:eastAsia="zh-CN"/>
        </w:rPr>
        <w:t>八</w:t>
      </w:r>
      <w:r>
        <w:rPr>
          <w:rFonts w:hint="eastAsia"/>
          <w:szCs w:val="28"/>
        </w:rPr>
        <w:t>月</w:t>
      </w:r>
    </w:p>
    <w:p>
      <w:pPr>
        <w:ind w:firstLine="560"/>
        <w:jc w:val="right"/>
      </w:pPr>
    </w:p>
    <w:p>
      <w:pPr>
        <w:ind w:right="420" w:firstLine="560"/>
        <w:jc w:val="right"/>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pPr>
        <w:pStyle w:val="21"/>
        <w:spacing w:before="0" w:beforeAutospacing="0" w:after="0" w:afterAutospacing="0" w:line="360" w:lineRule="auto"/>
        <w:ind w:firstLine="640"/>
        <w:jc w:val="both"/>
        <w:rPr>
          <w:rFonts w:cs="仿宋"/>
          <w:color w:val="auto"/>
          <w:sz w:val="32"/>
          <w:szCs w:val="32"/>
        </w:rPr>
      </w:pPr>
      <w:r>
        <w:rPr>
          <w:rFonts w:hint="eastAsia"/>
          <w:b/>
          <w:bCs/>
          <w:sz w:val="44"/>
          <w:szCs w:val="44"/>
        </w:rPr>
        <w:t>绩效评价小组</w:t>
      </w:r>
    </w:p>
    <w:p>
      <w:pPr>
        <w:pStyle w:val="21"/>
        <w:spacing w:before="0" w:beforeAutospacing="0" w:after="0" w:afterAutospacing="0" w:line="360" w:lineRule="auto"/>
        <w:ind w:firstLine="640"/>
        <w:jc w:val="both"/>
        <w:rPr>
          <w:rFonts w:cs="仿宋"/>
          <w:color w:val="auto"/>
          <w:sz w:val="32"/>
          <w:szCs w:val="32"/>
        </w:rPr>
      </w:pPr>
    </w:p>
    <w:p>
      <w:pPr>
        <w:pStyle w:val="21"/>
        <w:spacing w:before="0" w:beforeAutospacing="0" w:after="0" w:afterAutospacing="0" w:line="360" w:lineRule="auto"/>
        <w:ind w:firstLine="640"/>
        <w:rPr>
          <w:rFonts w:hint="default" w:eastAsia="宋体" w:cs="仿宋"/>
          <w:color w:val="auto"/>
          <w:sz w:val="32"/>
          <w:szCs w:val="32"/>
          <w:lang w:val="en-US" w:eastAsia="zh-CN"/>
        </w:rPr>
      </w:pPr>
      <w:r>
        <w:rPr>
          <w:rFonts w:hint="eastAsia" w:cs="仿宋"/>
          <w:color w:val="auto"/>
          <w:sz w:val="32"/>
          <w:szCs w:val="32"/>
        </w:rPr>
        <w:t>组  长：</w:t>
      </w:r>
      <w:r>
        <w:rPr>
          <w:rFonts w:hint="eastAsia"/>
          <w:color w:val="auto"/>
          <w:sz w:val="32"/>
          <w:szCs w:val="32"/>
          <w:lang w:val="en-US" w:eastAsia="zh-CN"/>
        </w:rPr>
        <w:t>尤永江</w:t>
      </w:r>
    </w:p>
    <w:p>
      <w:pPr>
        <w:pStyle w:val="21"/>
        <w:spacing w:before="0" w:beforeAutospacing="0" w:after="0" w:afterAutospacing="0" w:line="360" w:lineRule="auto"/>
        <w:jc w:val="both"/>
        <w:rPr>
          <w:rFonts w:cs="仿宋"/>
          <w:color w:val="auto"/>
          <w:sz w:val="32"/>
          <w:szCs w:val="32"/>
        </w:rPr>
      </w:pPr>
    </w:p>
    <w:p>
      <w:pPr>
        <w:pStyle w:val="21"/>
        <w:spacing w:before="0" w:beforeAutospacing="0" w:after="0" w:afterAutospacing="0" w:line="360" w:lineRule="auto"/>
        <w:ind w:firstLine="640" w:firstLineChars="200"/>
        <w:jc w:val="both"/>
        <w:rPr>
          <w:color w:val="auto"/>
          <w:sz w:val="32"/>
          <w:szCs w:val="32"/>
        </w:rPr>
      </w:pPr>
      <w:r>
        <w:rPr>
          <w:rFonts w:hint="eastAsia"/>
          <w:color w:val="auto"/>
          <w:sz w:val="32"/>
          <w:szCs w:val="32"/>
        </w:rPr>
        <w:t>副组长：冯龙</w:t>
      </w:r>
    </w:p>
    <w:p>
      <w:pPr>
        <w:pStyle w:val="21"/>
        <w:spacing w:before="0" w:beforeAutospacing="0" w:after="0" w:afterAutospacing="0" w:line="360" w:lineRule="auto"/>
        <w:jc w:val="both"/>
        <w:rPr>
          <w:rFonts w:cs="仿宋"/>
          <w:color w:val="auto"/>
          <w:sz w:val="32"/>
          <w:szCs w:val="32"/>
        </w:rPr>
      </w:pPr>
    </w:p>
    <w:p>
      <w:pPr>
        <w:ind w:left="1598" w:leftChars="228" w:hanging="960" w:hangingChars="300"/>
        <w:jc w:val="left"/>
        <w:rPr>
          <w:rFonts w:hint="eastAsia" w:eastAsia="宋体"/>
          <w:sz w:val="32"/>
          <w:szCs w:val="32"/>
          <w:lang w:eastAsia="zh-CN"/>
        </w:rPr>
      </w:pPr>
      <w:r>
        <w:rPr>
          <w:rFonts w:hint="eastAsia" w:ascii="宋体" w:hAnsi="宋体" w:cs="仿宋"/>
          <w:sz w:val="32"/>
          <w:szCs w:val="32"/>
        </w:rPr>
        <w:t>小组成员：</w:t>
      </w:r>
      <w:r>
        <w:rPr>
          <w:rFonts w:hint="eastAsia"/>
          <w:sz w:val="32"/>
          <w:szCs w:val="32"/>
        </w:rPr>
        <w:t>伏广全、韩宇、</w:t>
      </w:r>
      <w:r>
        <w:rPr>
          <w:rFonts w:hint="eastAsia"/>
          <w:sz w:val="32"/>
          <w:szCs w:val="32"/>
          <w:lang w:val="en-US" w:eastAsia="zh-CN"/>
        </w:rPr>
        <w:t>刘娇娇</w:t>
      </w:r>
    </w:p>
    <w:p>
      <w:pPr>
        <w:ind w:firstLine="0" w:firstLineChars="0"/>
        <w:rPr>
          <w:rFonts w:ascii="宋体" w:hAnsi="宋体"/>
          <w:sz w:val="52"/>
          <w:szCs w:val="52"/>
        </w:rPr>
        <w:sectPr>
          <w:footerReference r:id="rId11" w:type="default"/>
          <w:pgSz w:w="11906" w:h="16838"/>
          <w:pgMar w:top="1440" w:right="1797" w:bottom="1440" w:left="1797" w:header="851" w:footer="992" w:gutter="0"/>
          <w:cols w:space="425" w:num="1"/>
          <w:docGrid w:type="lines" w:linePitch="312" w:charSpace="0"/>
        </w:sectPr>
      </w:pPr>
    </w:p>
    <w:p>
      <w:pPr>
        <w:jc w:val="center"/>
        <w:outlineLvl w:val="1"/>
        <w:rPr>
          <w:rFonts w:hint="eastAsia" w:eastAsia="宋体"/>
          <w:b/>
          <w:bCs/>
          <w:color w:val="auto"/>
          <w:sz w:val="28"/>
          <w:szCs w:val="28"/>
          <w:lang w:val="en-US" w:eastAsia="zh-CN"/>
        </w:rPr>
      </w:pPr>
      <w:r>
        <w:rPr>
          <w:rFonts w:hint="eastAsia"/>
          <w:b/>
          <w:bCs/>
          <w:color w:val="auto"/>
          <w:sz w:val="28"/>
          <w:szCs w:val="28"/>
          <w:lang w:val="en-US" w:eastAsia="zh-CN"/>
        </w:rPr>
        <w:t>目 录</w:t>
      </w:r>
    </w:p>
    <w:p>
      <w:pPr>
        <w:pStyle w:val="11"/>
        <w:tabs>
          <w:tab w:val="right" w:leader="dot" w:pos="8306"/>
        </w:tabs>
        <w:rPr>
          <w:sz w:val="28"/>
          <w:szCs w:val="28"/>
        </w:rPr>
      </w:pPr>
      <w:r>
        <w:fldChar w:fldCharType="begin"/>
      </w:r>
      <w:r>
        <w:instrText xml:space="preserve">TOC \o "1-2" \h \u </w:instrText>
      </w:r>
      <w:r>
        <w:fldChar w:fldCharType="separate"/>
      </w:r>
      <w:r>
        <w:rPr>
          <w:sz w:val="28"/>
          <w:szCs w:val="28"/>
        </w:rPr>
        <w:fldChar w:fldCharType="begin"/>
      </w:r>
      <w:r>
        <w:rPr>
          <w:sz w:val="28"/>
          <w:szCs w:val="28"/>
        </w:rPr>
        <w:instrText xml:space="preserve"> HYPERLINK \l _Toc25380 </w:instrText>
      </w:r>
      <w:r>
        <w:rPr>
          <w:sz w:val="28"/>
          <w:szCs w:val="28"/>
        </w:rPr>
        <w:fldChar w:fldCharType="separate"/>
      </w:r>
      <w:r>
        <w:rPr>
          <w:rFonts w:hint="eastAsia"/>
          <w:sz w:val="28"/>
          <w:szCs w:val="28"/>
        </w:rPr>
        <w:t>1</w:t>
      </w:r>
      <w:r>
        <w:rPr>
          <w:rFonts w:hint="eastAsia"/>
          <w:sz w:val="28"/>
          <w:szCs w:val="28"/>
          <w:lang w:val="en-US" w:eastAsia="zh-CN"/>
        </w:rPr>
        <w:t xml:space="preserve"> </w:t>
      </w:r>
      <w:r>
        <w:rPr>
          <w:rFonts w:hint="eastAsia"/>
          <w:sz w:val="28"/>
          <w:szCs w:val="28"/>
        </w:rPr>
        <w:t>引言</w:t>
      </w:r>
      <w:r>
        <w:rPr>
          <w:sz w:val="28"/>
          <w:szCs w:val="28"/>
        </w:rPr>
        <w:tab/>
      </w:r>
      <w:r>
        <w:rPr>
          <w:sz w:val="28"/>
          <w:szCs w:val="28"/>
        </w:rPr>
        <w:fldChar w:fldCharType="begin"/>
      </w:r>
      <w:r>
        <w:rPr>
          <w:sz w:val="28"/>
          <w:szCs w:val="28"/>
        </w:rPr>
        <w:instrText xml:space="preserve"> PAGEREF _Toc25380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_Toc23417 </w:instrText>
      </w:r>
      <w:r>
        <w:rPr>
          <w:sz w:val="28"/>
          <w:szCs w:val="28"/>
        </w:rPr>
        <w:fldChar w:fldCharType="separate"/>
      </w:r>
      <w:r>
        <w:rPr>
          <w:rFonts w:hint="eastAsia"/>
          <w:sz w:val="28"/>
          <w:szCs w:val="28"/>
        </w:rPr>
        <w:t>1.1</w:t>
      </w:r>
      <w:r>
        <w:rPr>
          <w:rFonts w:hint="eastAsia"/>
          <w:sz w:val="28"/>
          <w:szCs w:val="28"/>
          <w:lang w:val="en-US" w:eastAsia="zh-CN"/>
        </w:rPr>
        <w:t xml:space="preserve"> </w:t>
      </w:r>
      <w:r>
        <w:rPr>
          <w:rFonts w:hint="eastAsia"/>
          <w:sz w:val="28"/>
          <w:szCs w:val="28"/>
        </w:rPr>
        <w:t>部门职责概述</w:t>
      </w:r>
      <w:r>
        <w:rPr>
          <w:sz w:val="28"/>
          <w:szCs w:val="28"/>
        </w:rPr>
        <w:tab/>
      </w:r>
      <w:r>
        <w:rPr>
          <w:sz w:val="28"/>
          <w:szCs w:val="28"/>
        </w:rPr>
        <w:fldChar w:fldCharType="begin"/>
      </w:r>
      <w:r>
        <w:rPr>
          <w:sz w:val="28"/>
          <w:szCs w:val="28"/>
        </w:rPr>
        <w:instrText xml:space="preserve"> PAGEREF _Toc23417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_Toc14834 </w:instrText>
      </w:r>
      <w:r>
        <w:rPr>
          <w:sz w:val="28"/>
          <w:szCs w:val="28"/>
        </w:rPr>
        <w:fldChar w:fldCharType="separate"/>
      </w:r>
      <w:r>
        <w:rPr>
          <w:rFonts w:hint="eastAsia"/>
          <w:sz w:val="28"/>
          <w:szCs w:val="28"/>
        </w:rPr>
        <w:t>1.2</w:t>
      </w:r>
      <w:r>
        <w:rPr>
          <w:rFonts w:hint="eastAsia"/>
          <w:sz w:val="28"/>
          <w:szCs w:val="28"/>
          <w:lang w:val="en-US" w:eastAsia="zh-CN"/>
        </w:rPr>
        <w:t xml:space="preserve"> </w:t>
      </w:r>
      <w:r>
        <w:rPr>
          <w:rFonts w:hint="eastAsia"/>
          <w:sz w:val="28"/>
          <w:szCs w:val="28"/>
        </w:rPr>
        <w:t>部门收支描述</w:t>
      </w:r>
      <w:r>
        <w:rPr>
          <w:sz w:val="28"/>
          <w:szCs w:val="28"/>
        </w:rPr>
        <w:tab/>
      </w:r>
      <w:r>
        <w:rPr>
          <w:sz w:val="28"/>
          <w:szCs w:val="28"/>
        </w:rPr>
        <w:fldChar w:fldCharType="begin"/>
      </w:r>
      <w:r>
        <w:rPr>
          <w:sz w:val="28"/>
          <w:szCs w:val="28"/>
        </w:rPr>
        <w:instrText xml:space="preserve"> PAGEREF _Toc14834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_Toc16971 </w:instrText>
      </w:r>
      <w:r>
        <w:rPr>
          <w:sz w:val="28"/>
          <w:szCs w:val="28"/>
        </w:rPr>
        <w:fldChar w:fldCharType="separate"/>
      </w:r>
      <w:r>
        <w:rPr>
          <w:rFonts w:hint="eastAsia"/>
          <w:sz w:val="28"/>
          <w:szCs w:val="28"/>
        </w:rPr>
        <w:t>1.3</w:t>
      </w:r>
      <w:r>
        <w:rPr>
          <w:rFonts w:hint="eastAsia"/>
          <w:sz w:val="28"/>
          <w:szCs w:val="28"/>
          <w:lang w:val="en-US" w:eastAsia="zh-CN"/>
        </w:rPr>
        <w:t xml:space="preserve"> </w:t>
      </w:r>
      <w:r>
        <w:rPr>
          <w:rFonts w:hint="eastAsia"/>
          <w:sz w:val="28"/>
          <w:szCs w:val="28"/>
        </w:rPr>
        <w:t>部门项目实施情况</w:t>
      </w:r>
      <w:r>
        <w:rPr>
          <w:sz w:val="28"/>
          <w:szCs w:val="28"/>
        </w:rPr>
        <w:tab/>
      </w:r>
      <w:r>
        <w:rPr>
          <w:sz w:val="28"/>
          <w:szCs w:val="28"/>
        </w:rPr>
        <w:fldChar w:fldCharType="begin"/>
      </w:r>
      <w:r>
        <w:rPr>
          <w:sz w:val="28"/>
          <w:szCs w:val="28"/>
        </w:rPr>
        <w:instrText xml:space="preserve"> PAGEREF _Toc16971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1"/>
        <w:tabs>
          <w:tab w:val="right" w:leader="dot" w:pos="8306"/>
        </w:tabs>
        <w:rPr>
          <w:sz w:val="28"/>
          <w:szCs w:val="28"/>
        </w:rPr>
      </w:pPr>
      <w:r>
        <w:rPr>
          <w:sz w:val="28"/>
          <w:szCs w:val="28"/>
        </w:rPr>
        <w:fldChar w:fldCharType="begin"/>
      </w:r>
      <w:r>
        <w:rPr>
          <w:sz w:val="28"/>
          <w:szCs w:val="28"/>
        </w:rPr>
        <w:instrText xml:space="preserve"> HYPERLINK \l _Toc3936 </w:instrText>
      </w:r>
      <w:r>
        <w:rPr>
          <w:sz w:val="28"/>
          <w:szCs w:val="28"/>
        </w:rPr>
        <w:fldChar w:fldCharType="separate"/>
      </w:r>
      <w:r>
        <w:rPr>
          <w:rFonts w:hint="eastAsia"/>
          <w:sz w:val="28"/>
          <w:szCs w:val="28"/>
        </w:rPr>
        <w:t>2</w:t>
      </w:r>
      <w:r>
        <w:rPr>
          <w:rFonts w:hint="eastAsia"/>
          <w:sz w:val="28"/>
          <w:szCs w:val="28"/>
          <w:lang w:val="en-US" w:eastAsia="zh-CN"/>
        </w:rPr>
        <w:t xml:space="preserve"> </w:t>
      </w:r>
      <w:r>
        <w:rPr>
          <w:rFonts w:hint="eastAsia"/>
          <w:sz w:val="28"/>
          <w:szCs w:val="28"/>
        </w:rPr>
        <w:t>绩效评价概述</w:t>
      </w:r>
      <w:r>
        <w:rPr>
          <w:sz w:val="28"/>
          <w:szCs w:val="28"/>
        </w:rPr>
        <w:tab/>
      </w:r>
      <w:r>
        <w:rPr>
          <w:sz w:val="28"/>
          <w:szCs w:val="28"/>
        </w:rPr>
        <w:fldChar w:fldCharType="begin"/>
      </w:r>
      <w:r>
        <w:rPr>
          <w:sz w:val="28"/>
          <w:szCs w:val="28"/>
        </w:rPr>
        <w:instrText xml:space="preserve"> PAGEREF _Toc3936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_Toc16756 </w:instrText>
      </w:r>
      <w:r>
        <w:rPr>
          <w:sz w:val="28"/>
          <w:szCs w:val="28"/>
        </w:rPr>
        <w:fldChar w:fldCharType="separate"/>
      </w:r>
      <w:r>
        <w:rPr>
          <w:rFonts w:hint="eastAsia"/>
          <w:sz w:val="28"/>
          <w:szCs w:val="28"/>
        </w:rPr>
        <w:t>2.1</w:t>
      </w:r>
      <w:r>
        <w:rPr>
          <w:rFonts w:hint="eastAsia"/>
          <w:sz w:val="28"/>
          <w:szCs w:val="28"/>
          <w:lang w:val="en-US" w:eastAsia="zh-CN"/>
        </w:rPr>
        <w:t xml:space="preserve"> </w:t>
      </w:r>
      <w:r>
        <w:rPr>
          <w:rFonts w:hint="eastAsia"/>
          <w:sz w:val="28"/>
          <w:szCs w:val="28"/>
        </w:rPr>
        <w:t>绩效评价目的</w:t>
      </w:r>
      <w:r>
        <w:rPr>
          <w:sz w:val="28"/>
          <w:szCs w:val="28"/>
        </w:rPr>
        <w:tab/>
      </w:r>
      <w:r>
        <w:rPr>
          <w:sz w:val="28"/>
          <w:szCs w:val="28"/>
        </w:rPr>
        <w:fldChar w:fldCharType="begin"/>
      </w:r>
      <w:r>
        <w:rPr>
          <w:sz w:val="28"/>
          <w:szCs w:val="28"/>
        </w:rPr>
        <w:instrText xml:space="preserve"> PAGEREF _Toc16756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_Toc15409 </w:instrText>
      </w:r>
      <w:r>
        <w:rPr>
          <w:sz w:val="28"/>
          <w:szCs w:val="28"/>
        </w:rPr>
        <w:fldChar w:fldCharType="separate"/>
      </w:r>
      <w:r>
        <w:rPr>
          <w:rFonts w:hint="eastAsia"/>
          <w:sz w:val="28"/>
          <w:szCs w:val="28"/>
        </w:rPr>
        <w:t>2.2</w:t>
      </w:r>
      <w:r>
        <w:rPr>
          <w:rFonts w:hint="eastAsia"/>
          <w:sz w:val="28"/>
          <w:szCs w:val="28"/>
          <w:lang w:val="en-US" w:eastAsia="zh-CN"/>
        </w:rPr>
        <w:t xml:space="preserve"> </w:t>
      </w:r>
      <w:r>
        <w:rPr>
          <w:rFonts w:hint="eastAsia"/>
          <w:sz w:val="28"/>
          <w:szCs w:val="28"/>
        </w:rPr>
        <w:t>绩效评价实施过程</w:t>
      </w:r>
      <w:r>
        <w:rPr>
          <w:sz w:val="28"/>
          <w:szCs w:val="28"/>
        </w:rPr>
        <w:tab/>
      </w:r>
      <w:r>
        <w:rPr>
          <w:sz w:val="28"/>
          <w:szCs w:val="28"/>
        </w:rPr>
        <w:fldChar w:fldCharType="begin"/>
      </w:r>
      <w:r>
        <w:rPr>
          <w:sz w:val="28"/>
          <w:szCs w:val="28"/>
        </w:rPr>
        <w:instrText xml:space="preserve"> PAGEREF _Toc15409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_Toc16961 </w:instrText>
      </w:r>
      <w:r>
        <w:rPr>
          <w:sz w:val="28"/>
          <w:szCs w:val="28"/>
        </w:rPr>
        <w:fldChar w:fldCharType="separate"/>
      </w:r>
      <w:r>
        <w:rPr>
          <w:rFonts w:hint="eastAsia"/>
          <w:sz w:val="28"/>
          <w:szCs w:val="28"/>
        </w:rPr>
        <w:t>2.3</w:t>
      </w:r>
      <w:r>
        <w:rPr>
          <w:rFonts w:hint="eastAsia"/>
          <w:sz w:val="28"/>
          <w:szCs w:val="28"/>
          <w:lang w:val="en-US" w:eastAsia="zh-CN"/>
        </w:rPr>
        <w:t xml:space="preserve"> </w:t>
      </w:r>
      <w:r>
        <w:rPr>
          <w:rFonts w:hint="eastAsia"/>
          <w:sz w:val="28"/>
          <w:szCs w:val="28"/>
        </w:rPr>
        <w:t>绩效评价的局限性</w:t>
      </w:r>
      <w:r>
        <w:rPr>
          <w:sz w:val="28"/>
          <w:szCs w:val="28"/>
        </w:rPr>
        <w:tab/>
      </w:r>
      <w:r>
        <w:rPr>
          <w:sz w:val="28"/>
          <w:szCs w:val="28"/>
        </w:rPr>
        <w:fldChar w:fldCharType="begin"/>
      </w:r>
      <w:r>
        <w:rPr>
          <w:sz w:val="28"/>
          <w:szCs w:val="28"/>
        </w:rPr>
        <w:instrText xml:space="preserve"> PAGEREF _Toc16961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1"/>
        <w:tabs>
          <w:tab w:val="right" w:leader="dot" w:pos="8306"/>
        </w:tabs>
        <w:rPr>
          <w:sz w:val="28"/>
          <w:szCs w:val="28"/>
        </w:rPr>
      </w:pPr>
      <w:r>
        <w:rPr>
          <w:sz w:val="28"/>
          <w:szCs w:val="28"/>
        </w:rPr>
        <w:fldChar w:fldCharType="begin"/>
      </w:r>
      <w:r>
        <w:rPr>
          <w:sz w:val="28"/>
          <w:szCs w:val="28"/>
        </w:rPr>
        <w:instrText xml:space="preserve"> HYPERLINK \l _Toc4525 </w:instrText>
      </w:r>
      <w:r>
        <w:rPr>
          <w:sz w:val="28"/>
          <w:szCs w:val="28"/>
        </w:rPr>
        <w:fldChar w:fldCharType="separate"/>
      </w:r>
      <w:r>
        <w:rPr>
          <w:rFonts w:hint="eastAsia"/>
          <w:sz w:val="28"/>
          <w:szCs w:val="28"/>
        </w:rPr>
        <w:t>3</w:t>
      </w:r>
      <w:r>
        <w:rPr>
          <w:rFonts w:hint="eastAsia"/>
          <w:sz w:val="28"/>
          <w:szCs w:val="28"/>
          <w:lang w:val="en-US" w:eastAsia="zh-CN"/>
        </w:rPr>
        <w:t xml:space="preserve"> </w:t>
      </w:r>
      <w:r>
        <w:rPr>
          <w:rFonts w:hint="eastAsia"/>
          <w:sz w:val="28"/>
          <w:szCs w:val="28"/>
        </w:rPr>
        <w:t>部门整体绩效评价分析</w:t>
      </w:r>
      <w:r>
        <w:rPr>
          <w:sz w:val="28"/>
          <w:szCs w:val="28"/>
        </w:rPr>
        <w:tab/>
      </w:r>
      <w:r>
        <w:rPr>
          <w:sz w:val="28"/>
          <w:szCs w:val="28"/>
        </w:rPr>
        <w:fldChar w:fldCharType="begin"/>
      </w:r>
      <w:r>
        <w:rPr>
          <w:sz w:val="28"/>
          <w:szCs w:val="28"/>
        </w:rPr>
        <w:instrText xml:space="preserve"> PAGEREF _Toc4525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_Toc28992 </w:instrText>
      </w:r>
      <w:r>
        <w:rPr>
          <w:sz w:val="28"/>
          <w:szCs w:val="28"/>
        </w:rPr>
        <w:fldChar w:fldCharType="separate"/>
      </w:r>
      <w:r>
        <w:rPr>
          <w:rFonts w:hint="eastAsia"/>
          <w:sz w:val="28"/>
          <w:szCs w:val="28"/>
        </w:rPr>
        <w:t>3.1</w:t>
      </w:r>
      <w:r>
        <w:rPr>
          <w:rFonts w:hint="eastAsia"/>
          <w:sz w:val="28"/>
          <w:szCs w:val="28"/>
          <w:lang w:val="en-US" w:eastAsia="zh-CN"/>
        </w:rPr>
        <w:t>决策</w:t>
      </w:r>
      <w:r>
        <w:rPr>
          <w:sz w:val="28"/>
          <w:szCs w:val="28"/>
        </w:rPr>
        <w:tab/>
      </w:r>
      <w:r>
        <w:rPr>
          <w:sz w:val="28"/>
          <w:szCs w:val="28"/>
        </w:rPr>
        <w:fldChar w:fldCharType="begin"/>
      </w:r>
      <w:r>
        <w:rPr>
          <w:sz w:val="28"/>
          <w:szCs w:val="28"/>
        </w:rPr>
        <w:instrText xml:space="preserve"> PAGEREF _Toc28992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_Toc20716 </w:instrText>
      </w:r>
      <w:r>
        <w:rPr>
          <w:sz w:val="28"/>
          <w:szCs w:val="28"/>
        </w:rPr>
        <w:fldChar w:fldCharType="separate"/>
      </w:r>
      <w:r>
        <w:rPr>
          <w:rFonts w:hint="eastAsia"/>
          <w:sz w:val="28"/>
          <w:szCs w:val="28"/>
        </w:rPr>
        <w:t>3.2</w:t>
      </w:r>
      <w:r>
        <w:rPr>
          <w:rFonts w:hint="eastAsia"/>
          <w:sz w:val="28"/>
          <w:szCs w:val="28"/>
          <w:lang w:val="en-US" w:eastAsia="zh-CN"/>
        </w:rPr>
        <w:t>过程</w:t>
      </w:r>
      <w:r>
        <w:rPr>
          <w:sz w:val="28"/>
          <w:szCs w:val="28"/>
        </w:rPr>
        <w:tab/>
      </w:r>
      <w:r>
        <w:rPr>
          <w:sz w:val="28"/>
          <w:szCs w:val="28"/>
        </w:rPr>
        <w:fldChar w:fldCharType="begin"/>
      </w:r>
      <w:r>
        <w:rPr>
          <w:sz w:val="28"/>
          <w:szCs w:val="28"/>
        </w:rPr>
        <w:instrText xml:space="preserve"> PAGEREF _Toc20716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_Toc16108 </w:instrText>
      </w:r>
      <w:r>
        <w:rPr>
          <w:sz w:val="28"/>
          <w:szCs w:val="28"/>
        </w:rPr>
        <w:fldChar w:fldCharType="separate"/>
      </w:r>
      <w:r>
        <w:rPr>
          <w:rFonts w:hint="eastAsia"/>
          <w:sz w:val="28"/>
          <w:szCs w:val="28"/>
        </w:rPr>
        <w:t>3.</w:t>
      </w:r>
      <w:r>
        <w:rPr>
          <w:rFonts w:hint="eastAsia"/>
          <w:sz w:val="28"/>
          <w:szCs w:val="28"/>
          <w:lang w:val="en-US" w:eastAsia="zh-CN"/>
        </w:rPr>
        <w:t>3</w:t>
      </w:r>
      <w:r>
        <w:rPr>
          <w:rFonts w:hint="eastAsia"/>
          <w:sz w:val="28"/>
          <w:szCs w:val="28"/>
        </w:rPr>
        <w:t>履职</w:t>
      </w:r>
      <w:r>
        <w:rPr>
          <w:sz w:val="28"/>
          <w:szCs w:val="28"/>
        </w:rPr>
        <w:tab/>
      </w:r>
      <w:r>
        <w:rPr>
          <w:sz w:val="28"/>
          <w:szCs w:val="28"/>
        </w:rPr>
        <w:fldChar w:fldCharType="begin"/>
      </w:r>
      <w:r>
        <w:rPr>
          <w:sz w:val="28"/>
          <w:szCs w:val="28"/>
        </w:rPr>
        <w:instrText xml:space="preserve"> PAGEREF _Toc16108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_Toc30035 </w:instrText>
      </w:r>
      <w:r>
        <w:rPr>
          <w:sz w:val="28"/>
          <w:szCs w:val="28"/>
        </w:rPr>
        <w:fldChar w:fldCharType="separate"/>
      </w:r>
      <w:r>
        <w:rPr>
          <w:rFonts w:hint="eastAsia"/>
          <w:sz w:val="28"/>
          <w:szCs w:val="28"/>
        </w:rPr>
        <w:t>3.</w:t>
      </w:r>
      <w:r>
        <w:rPr>
          <w:rFonts w:hint="eastAsia"/>
          <w:sz w:val="28"/>
          <w:szCs w:val="28"/>
          <w:lang w:val="en-US" w:eastAsia="zh-CN"/>
        </w:rPr>
        <w:t>4效益</w:t>
      </w:r>
      <w:r>
        <w:rPr>
          <w:sz w:val="28"/>
          <w:szCs w:val="28"/>
        </w:rPr>
        <w:tab/>
      </w:r>
      <w:r>
        <w:rPr>
          <w:sz w:val="28"/>
          <w:szCs w:val="28"/>
        </w:rPr>
        <w:fldChar w:fldCharType="begin"/>
      </w:r>
      <w:r>
        <w:rPr>
          <w:sz w:val="28"/>
          <w:szCs w:val="28"/>
        </w:rPr>
        <w:instrText xml:space="preserve"> PAGEREF _Toc30035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_Toc6809 </w:instrText>
      </w:r>
      <w:r>
        <w:rPr>
          <w:sz w:val="28"/>
          <w:szCs w:val="28"/>
        </w:rPr>
        <w:fldChar w:fldCharType="separate"/>
      </w:r>
      <w:r>
        <w:rPr>
          <w:rFonts w:hint="eastAsia"/>
          <w:sz w:val="28"/>
          <w:szCs w:val="28"/>
        </w:rPr>
        <w:t>3.</w:t>
      </w:r>
      <w:r>
        <w:rPr>
          <w:rFonts w:hint="eastAsia"/>
          <w:sz w:val="28"/>
          <w:szCs w:val="28"/>
          <w:lang w:val="en-US" w:eastAsia="zh-CN"/>
        </w:rPr>
        <w:t>5满意度</w:t>
      </w:r>
      <w:r>
        <w:rPr>
          <w:sz w:val="28"/>
          <w:szCs w:val="28"/>
        </w:rPr>
        <w:tab/>
      </w:r>
      <w:r>
        <w:rPr>
          <w:sz w:val="28"/>
          <w:szCs w:val="28"/>
        </w:rPr>
        <w:fldChar w:fldCharType="begin"/>
      </w:r>
      <w:r>
        <w:rPr>
          <w:sz w:val="28"/>
          <w:szCs w:val="28"/>
        </w:rPr>
        <w:instrText xml:space="preserve"> PAGEREF _Toc6809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tabs>
          <w:tab w:val="right" w:leader="dot" w:pos="8306"/>
        </w:tabs>
        <w:rPr>
          <w:sz w:val="28"/>
          <w:szCs w:val="28"/>
        </w:rPr>
      </w:pPr>
      <w:r>
        <w:rPr>
          <w:sz w:val="28"/>
          <w:szCs w:val="28"/>
        </w:rPr>
        <w:fldChar w:fldCharType="begin"/>
      </w:r>
      <w:r>
        <w:rPr>
          <w:sz w:val="28"/>
          <w:szCs w:val="28"/>
        </w:rPr>
        <w:instrText xml:space="preserve"> HYPERLINK \l _Toc13381 </w:instrText>
      </w:r>
      <w:r>
        <w:rPr>
          <w:sz w:val="28"/>
          <w:szCs w:val="28"/>
        </w:rPr>
        <w:fldChar w:fldCharType="separate"/>
      </w:r>
      <w:r>
        <w:rPr>
          <w:rFonts w:hint="eastAsia"/>
          <w:sz w:val="28"/>
          <w:szCs w:val="28"/>
        </w:rPr>
        <w:t>4</w:t>
      </w:r>
      <w:r>
        <w:rPr>
          <w:rFonts w:hint="eastAsia"/>
          <w:sz w:val="28"/>
          <w:szCs w:val="28"/>
          <w:lang w:val="en-US" w:eastAsia="zh-CN"/>
        </w:rPr>
        <w:t xml:space="preserve"> </w:t>
      </w:r>
      <w:r>
        <w:rPr>
          <w:rFonts w:hint="eastAsia"/>
          <w:sz w:val="28"/>
          <w:szCs w:val="28"/>
        </w:rPr>
        <w:t>需要说明事项</w:t>
      </w:r>
      <w:r>
        <w:rPr>
          <w:sz w:val="28"/>
          <w:szCs w:val="28"/>
        </w:rPr>
        <w:tab/>
      </w:r>
      <w:r>
        <w:rPr>
          <w:sz w:val="28"/>
          <w:szCs w:val="28"/>
        </w:rPr>
        <w:fldChar w:fldCharType="begin"/>
      </w:r>
      <w:r>
        <w:rPr>
          <w:sz w:val="28"/>
          <w:szCs w:val="28"/>
        </w:rPr>
        <w:instrText xml:space="preserve"> PAGEREF _Toc13381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tabs>
          <w:tab w:val="right" w:leader="dot" w:pos="8306"/>
        </w:tabs>
        <w:rPr>
          <w:sz w:val="28"/>
          <w:szCs w:val="28"/>
        </w:rPr>
      </w:pPr>
      <w:r>
        <w:rPr>
          <w:sz w:val="28"/>
          <w:szCs w:val="28"/>
        </w:rPr>
        <w:fldChar w:fldCharType="begin"/>
      </w:r>
      <w:r>
        <w:rPr>
          <w:sz w:val="28"/>
          <w:szCs w:val="28"/>
        </w:rPr>
        <w:instrText xml:space="preserve"> HYPERLINK \l _Toc25084 </w:instrText>
      </w:r>
      <w:r>
        <w:rPr>
          <w:sz w:val="28"/>
          <w:szCs w:val="28"/>
        </w:rPr>
        <w:fldChar w:fldCharType="separate"/>
      </w:r>
      <w:r>
        <w:rPr>
          <w:rFonts w:hint="eastAsia"/>
          <w:sz w:val="28"/>
          <w:szCs w:val="28"/>
        </w:rPr>
        <w:t>5</w:t>
      </w:r>
      <w:r>
        <w:rPr>
          <w:rFonts w:hint="eastAsia"/>
          <w:sz w:val="28"/>
          <w:szCs w:val="28"/>
          <w:lang w:val="en-US" w:eastAsia="zh-CN"/>
        </w:rPr>
        <w:t xml:space="preserve"> </w:t>
      </w:r>
      <w:r>
        <w:rPr>
          <w:rFonts w:hint="eastAsia"/>
          <w:sz w:val="28"/>
          <w:szCs w:val="28"/>
        </w:rPr>
        <w:t>绩效评价结论</w:t>
      </w:r>
      <w:r>
        <w:rPr>
          <w:sz w:val="28"/>
          <w:szCs w:val="28"/>
        </w:rPr>
        <w:tab/>
      </w:r>
      <w:r>
        <w:rPr>
          <w:sz w:val="28"/>
          <w:szCs w:val="28"/>
        </w:rPr>
        <w:fldChar w:fldCharType="begin"/>
      </w:r>
      <w:r>
        <w:rPr>
          <w:sz w:val="28"/>
          <w:szCs w:val="28"/>
        </w:rPr>
        <w:instrText xml:space="preserve"> PAGEREF _Toc25084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_Toc25364 </w:instrText>
      </w:r>
      <w:r>
        <w:rPr>
          <w:sz w:val="28"/>
          <w:szCs w:val="28"/>
        </w:rPr>
        <w:fldChar w:fldCharType="separate"/>
      </w:r>
      <w:r>
        <w:rPr>
          <w:rFonts w:hint="eastAsia"/>
          <w:sz w:val="28"/>
          <w:szCs w:val="28"/>
        </w:rPr>
        <w:t>5.1</w:t>
      </w:r>
      <w:r>
        <w:rPr>
          <w:rFonts w:hint="eastAsia"/>
          <w:sz w:val="28"/>
          <w:szCs w:val="28"/>
          <w:lang w:val="en-US" w:eastAsia="zh-CN"/>
        </w:rPr>
        <w:t xml:space="preserve"> </w:t>
      </w:r>
      <w:r>
        <w:rPr>
          <w:rFonts w:hint="eastAsia"/>
          <w:sz w:val="28"/>
          <w:szCs w:val="28"/>
        </w:rPr>
        <w:t>绩效评价得分</w:t>
      </w:r>
      <w:r>
        <w:rPr>
          <w:sz w:val="28"/>
          <w:szCs w:val="28"/>
        </w:rPr>
        <w:tab/>
      </w:r>
      <w:r>
        <w:rPr>
          <w:sz w:val="28"/>
          <w:szCs w:val="28"/>
        </w:rPr>
        <w:fldChar w:fldCharType="begin"/>
      </w:r>
      <w:r>
        <w:rPr>
          <w:sz w:val="28"/>
          <w:szCs w:val="28"/>
        </w:rPr>
        <w:instrText xml:space="preserve"> PAGEREF _Toc25364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_Toc4550 </w:instrText>
      </w:r>
      <w:r>
        <w:rPr>
          <w:sz w:val="28"/>
          <w:szCs w:val="28"/>
        </w:rPr>
        <w:fldChar w:fldCharType="separate"/>
      </w:r>
      <w:r>
        <w:rPr>
          <w:rFonts w:hint="eastAsia"/>
          <w:sz w:val="28"/>
          <w:szCs w:val="28"/>
        </w:rPr>
        <w:t>5.2</w:t>
      </w:r>
      <w:r>
        <w:rPr>
          <w:rFonts w:hint="eastAsia"/>
          <w:sz w:val="28"/>
          <w:szCs w:val="28"/>
          <w:lang w:val="en-US" w:eastAsia="zh-CN"/>
        </w:rPr>
        <w:t xml:space="preserve"> </w:t>
      </w:r>
      <w:r>
        <w:rPr>
          <w:rFonts w:hint="eastAsia"/>
          <w:sz w:val="28"/>
          <w:szCs w:val="28"/>
        </w:rPr>
        <w:t>存在绩效问题</w:t>
      </w:r>
      <w:r>
        <w:rPr>
          <w:sz w:val="28"/>
          <w:szCs w:val="28"/>
        </w:rPr>
        <w:tab/>
      </w:r>
      <w:r>
        <w:rPr>
          <w:sz w:val="28"/>
          <w:szCs w:val="28"/>
        </w:rPr>
        <w:fldChar w:fldCharType="begin"/>
      </w:r>
      <w:r>
        <w:rPr>
          <w:sz w:val="28"/>
          <w:szCs w:val="28"/>
        </w:rPr>
        <w:instrText xml:space="preserve"> PAGEREF _Toc4550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tabs>
          <w:tab w:val="right" w:leader="dot" w:pos="8306"/>
        </w:tabs>
        <w:rPr>
          <w:sz w:val="28"/>
          <w:szCs w:val="28"/>
        </w:rPr>
      </w:pPr>
      <w:r>
        <w:rPr>
          <w:sz w:val="28"/>
          <w:szCs w:val="28"/>
        </w:rPr>
        <w:fldChar w:fldCharType="begin"/>
      </w:r>
      <w:r>
        <w:rPr>
          <w:sz w:val="28"/>
          <w:szCs w:val="28"/>
        </w:rPr>
        <w:instrText xml:space="preserve"> HYPERLINK \l _Toc15793 </w:instrText>
      </w:r>
      <w:r>
        <w:rPr>
          <w:sz w:val="28"/>
          <w:szCs w:val="28"/>
        </w:rPr>
        <w:fldChar w:fldCharType="separate"/>
      </w:r>
      <w:r>
        <w:rPr>
          <w:rFonts w:hint="eastAsia"/>
          <w:sz w:val="28"/>
          <w:szCs w:val="28"/>
        </w:rPr>
        <w:t>6</w:t>
      </w:r>
      <w:r>
        <w:rPr>
          <w:rFonts w:hint="eastAsia"/>
          <w:sz w:val="28"/>
          <w:szCs w:val="28"/>
          <w:lang w:val="en-US" w:eastAsia="zh-CN"/>
        </w:rPr>
        <w:t xml:space="preserve"> </w:t>
      </w:r>
      <w:r>
        <w:rPr>
          <w:rFonts w:hint="eastAsia"/>
          <w:sz w:val="28"/>
          <w:szCs w:val="28"/>
        </w:rPr>
        <w:t>经验教训与建议</w:t>
      </w:r>
      <w:r>
        <w:rPr>
          <w:sz w:val="28"/>
          <w:szCs w:val="28"/>
        </w:rPr>
        <w:tab/>
      </w:r>
      <w:r>
        <w:rPr>
          <w:sz w:val="28"/>
          <w:szCs w:val="28"/>
        </w:rPr>
        <w:fldChar w:fldCharType="begin"/>
      </w:r>
      <w:r>
        <w:rPr>
          <w:sz w:val="28"/>
          <w:szCs w:val="28"/>
        </w:rPr>
        <w:instrText xml:space="preserve"> PAGEREF _Toc15793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2"/>
        <w:tabs>
          <w:tab w:val="right" w:leader="dot" w:pos="8306"/>
        </w:tabs>
        <w:rPr>
          <w:sz w:val="28"/>
          <w:szCs w:val="28"/>
        </w:rPr>
      </w:pPr>
      <w:r>
        <w:rPr>
          <w:sz w:val="28"/>
          <w:szCs w:val="28"/>
        </w:rPr>
        <w:fldChar w:fldCharType="begin"/>
      </w:r>
      <w:r>
        <w:rPr>
          <w:sz w:val="28"/>
          <w:szCs w:val="28"/>
        </w:rPr>
        <w:instrText xml:space="preserve"> HYPERLINK \l _Toc26656 </w:instrText>
      </w:r>
      <w:r>
        <w:rPr>
          <w:sz w:val="28"/>
          <w:szCs w:val="28"/>
        </w:rPr>
        <w:fldChar w:fldCharType="separate"/>
      </w:r>
      <w:r>
        <w:rPr>
          <w:rFonts w:hint="eastAsia"/>
          <w:sz w:val="28"/>
          <w:szCs w:val="28"/>
        </w:rPr>
        <w:t>6.1</w:t>
      </w:r>
      <w:r>
        <w:rPr>
          <w:rFonts w:hint="eastAsia"/>
          <w:sz w:val="28"/>
          <w:szCs w:val="28"/>
          <w:lang w:val="en-US" w:eastAsia="zh-CN"/>
        </w:rPr>
        <w:t xml:space="preserve"> </w:t>
      </w:r>
      <w:r>
        <w:rPr>
          <w:rFonts w:hint="eastAsia"/>
          <w:sz w:val="28"/>
          <w:szCs w:val="28"/>
        </w:rPr>
        <w:t>经验教训</w:t>
      </w:r>
      <w:r>
        <w:rPr>
          <w:sz w:val="28"/>
          <w:szCs w:val="28"/>
        </w:rPr>
        <w:tab/>
      </w:r>
      <w:r>
        <w:rPr>
          <w:sz w:val="28"/>
          <w:szCs w:val="28"/>
        </w:rPr>
        <w:fldChar w:fldCharType="begin"/>
      </w:r>
      <w:r>
        <w:rPr>
          <w:sz w:val="28"/>
          <w:szCs w:val="28"/>
        </w:rPr>
        <w:instrText xml:space="preserve"> PAGEREF _Toc26656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2"/>
        <w:tabs>
          <w:tab w:val="right" w:leader="dot" w:pos="8306"/>
        </w:tabs>
      </w:pPr>
      <w:r>
        <w:rPr>
          <w:sz w:val="28"/>
          <w:szCs w:val="28"/>
        </w:rPr>
        <w:fldChar w:fldCharType="begin"/>
      </w:r>
      <w:r>
        <w:rPr>
          <w:sz w:val="28"/>
          <w:szCs w:val="28"/>
        </w:rPr>
        <w:instrText xml:space="preserve"> HYPERLINK \l _Toc7089 </w:instrText>
      </w:r>
      <w:r>
        <w:rPr>
          <w:sz w:val="28"/>
          <w:szCs w:val="28"/>
        </w:rPr>
        <w:fldChar w:fldCharType="separate"/>
      </w:r>
      <w:r>
        <w:rPr>
          <w:rFonts w:hint="eastAsia"/>
          <w:sz w:val="28"/>
          <w:szCs w:val="28"/>
        </w:rPr>
        <w:t>6.2</w:t>
      </w:r>
      <w:r>
        <w:rPr>
          <w:rFonts w:hint="eastAsia"/>
          <w:sz w:val="28"/>
          <w:szCs w:val="28"/>
          <w:lang w:val="en-US" w:eastAsia="zh-CN"/>
        </w:rPr>
        <w:t xml:space="preserve"> </w:t>
      </w:r>
      <w:r>
        <w:rPr>
          <w:rFonts w:hint="eastAsia"/>
          <w:sz w:val="28"/>
          <w:szCs w:val="28"/>
        </w:rPr>
        <w:t>建议</w:t>
      </w:r>
      <w:r>
        <w:rPr>
          <w:sz w:val="28"/>
          <w:szCs w:val="28"/>
        </w:rPr>
        <w:tab/>
      </w:r>
      <w:r>
        <w:rPr>
          <w:sz w:val="28"/>
          <w:szCs w:val="28"/>
        </w:rPr>
        <w:fldChar w:fldCharType="begin"/>
      </w:r>
      <w:r>
        <w:rPr>
          <w:sz w:val="28"/>
          <w:szCs w:val="28"/>
        </w:rPr>
        <w:instrText xml:space="preserve"> PAGEREF _Toc7089 \h </w:instrText>
      </w:r>
      <w:r>
        <w:rPr>
          <w:sz w:val="28"/>
          <w:szCs w:val="28"/>
        </w:rPr>
        <w:fldChar w:fldCharType="separate"/>
      </w:r>
      <w:r>
        <w:rPr>
          <w:sz w:val="28"/>
          <w:szCs w:val="28"/>
        </w:rPr>
        <w:t>18</w:t>
      </w:r>
      <w:r>
        <w:rPr>
          <w:sz w:val="28"/>
          <w:szCs w:val="28"/>
        </w:rPr>
        <w:fldChar w:fldCharType="end"/>
      </w:r>
      <w:r>
        <w:rPr>
          <w:sz w:val="28"/>
          <w:szCs w:val="28"/>
        </w:rPr>
        <w:fldChar w:fldCharType="end"/>
      </w:r>
    </w:p>
    <w:p>
      <w:pPr>
        <w:outlineLvl w:val="1"/>
      </w:pPr>
      <w:r>
        <w:fldChar w:fldCharType="end"/>
      </w:r>
    </w:p>
    <w:p>
      <w:pPr>
        <w:pStyle w:val="3"/>
        <w:bidi w:val="0"/>
      </w:pPr>
      <w:bookmarkStart w:id="0" w:name="_Toc25380"/>
      <w:r>
        <w:rPr>
          <w:rFonts w:hint="eastAsia"/>
        </w:rPr>
        <w:t>1</w:t>
      </w:r>
      <w:r>
        <w:rPr>
          <w:rFonts w:hint="eastAsia"/>
          <w:lang w:val="en-US" w:eastAsia="zh-CN"/>
        </w:rPr>
        <w:t xml:space="preserve"> </w:t>
      </w:r>
      <w:r>
        <w:rPr>
          <w:rFonts w:hint="eastAsia"/>
        </w:rPr>
        <w:t>引言</w:t>
      </w:r>
      <w:bookmarkEnd w:id="0"/>
    </w:p>
    <w:p>
      <w:pPr>
        <w:ind w:firstLine="560"/>
        <w:rPr>
          <w:rFonts w:hint="eastAsia" w:eastAsia="宋体"/>
          <w:lang w:eastAsia="zh-CN"/>
        </w:rPr>
      </w:pPr>
      <w:r>
        <w:rPr>
          <w:rFonts w:hint="eastAsia" w:ascii="宋体" w:hAnsi="宋体" w:cs="宋体"/>
        </w:rPr>
        <w:t>为贯彻落实全面推进预算绩效管理工作的要求，根据《全面实施预算绩效管理的意见》、《关于开展202</w:t>
      </w:r>
      <w:r>
        <w:rPr>
          <w:rFonts w:hint="eastAsia" w:ascii="宋体" w:hAnsi="宋体" w:cs="宋体"/>
          <w:lang w:val="en-US" w:eastAsia="zh-CN"/>
        </w:rPr>
        <w:t>3</w:t>
      </w:r>
      <w:r>
        <w:rPr>
          <w:rFonts w:hint="eastAsia" w:ascii="宋体" w:hAnsi="宋体" w:cs="宋体"/>
        </w:rPr>
        <w:t>年度部门整体绩效自评价工作的通知》（连财绩〔202</w:t>
      </w:r>
      <w:r>
        <w:rPr>
          <w:rFonts w:hint="eastAsia" w:ascii="宋体" w:hAnsi="宋体" w:cs="宋体"/>
          <w:lang w:val="en-US" w:eastAsia="zh-CN"/>
        </w:rPr>
        <w:t>3</w:t>
      </w:r>
      <w:r>
        <w:rPr>
          <w:rFonts w:hint="eastAsia" w:ascii="宋体" w:hAnsi="宋体" w:cs="宋体"/>
        </w:rPr>
        <w:t>〕3号）、《连云港市市级财政预算绩效目标管理办法》相关文件的要求和指导，确定的评价指标，结合连云港市住房和城乡建设局的实际情况拟定评价指标并开展绩效评价工作，现将评价结果报告如下</w:t>
      </w:r>
      <w:r>
        <w:rPr>
          <w:rFonts w:hint="eastAsia" w:ascii="宋体" w:hAnsi="宋体" w:cs="宋体"/>
          <w:lang w:eastAsia="zh-CN"/>
        </w:rPr>
        <w:t>。</w:t>
      </w:r>
    </w:p>
    <w:p>
      <w:pPr>
        <w:pStyle w:val="4"/>
        <w:ind w:firstLine="643"/>
      </w:pPr>
      <w:bookmarkStart w:id="1" w:name="_Toc9071"/>
      <w:bookmarkStart w:id="2" w:name="_Toc724"/>
      <w:bookmarkStart w:id="3" w:name="_Toc23417"/>
      <w:bookmarkStart w:id="4" w:name="_Toc19608"/>
      <w:r>
        <w:rPr>
          <w:rFonts w:hint="eastAsia"/>
        </w:rPr>
        <w:t>1.1</w:t>
      </w:r>
      <w:r>
        <w:rPr>
          <w:rFonts w:hint="eastAsia"/>
          <w:lang w:val="en-US" w:eastAsia="zh-CN"/>
        </w:rPr>
        <w:t xml:space="preserve"> </w:t>
      </w:r>
      <w:r>
        <w:rPr>
          <w:rFonts w:hint="eastAsia"/>
        </w:rPr>
        <w:t>部门职责概述</w:t>
      </w:r>
      <w:bookmarkEnd w:id="1"/>
      <w:bookmarkEnd w:id="2"/>
      <w:bookmarkEnd w:id="3"/>
      <w:bookmarkEnd w:id="4"/>
    </w:p>
    <w:p>
      <w:pPr>
        <w:ind w:firstLine="560"/>
        <w:rPr>
          <w:rFonts w:hint="eastAsia"/>
        </w:rPr>
      </w:pPr>
      <w:r>
        <w:rPr>
          <w:rFonts w:hint="eastAsia"/>
          <w:lang w:val="en-US" w:eastAsia="zh-CN"/>
        </w:rPr>
        <w:t>市住房和城乡建设局负责贯彻落实中央关于住房和城乡建设、人民防空和防震减灾工作的方针政策和省市委的决策部署，在履行职责过程中坚持和加强党对住房和城乡建设工作的集中统一领导。</w:t>
      </w:r>
    </w:p>
    <w:p>
      <w:pPr>
        <w:ind w:firstLine="560"/>
      </w:pPr>
      <w:r>
        <w:rPr>
          <w:rFonts w:hint="eastAsia"/>
        </w:rPr>
        <w:t>主要职责是：</w:t>
      </w:r>
    </w:p>
    <w:p>
      <w:pPr>
        <w:ind w:firstLine="560"/>
      </w:pPr>
      <w:r>
        <w:rPr>
          <w:rFonts w:hint="eastAsia"/>
        </w:rPr>
        <w:t xml:space="preserve"> 1、承担规范全市住房和城乡建设管理秩序的责任。制定全市住房和城乡建设规范性文件。研究提出住房和城乡建设重大问题的政策建议。编制全市住房和城乡建设发展规划。指导全市住房和城乡建设综合行政执法工作。组织开展全市住房和城乡建设信用体系建设工作。</w:t>
      </w:r>
    </w:p>
    <w:p>
      <w:pPr>
        <w:ind w:firstLine="560"/>
      </w:pPr>
      <w:r>
        <w:rPr>
          <w:rFonts w:hint="eastAsia"/>
        </w:rPr>
        <w:t>2、承担全市城镇住房保障和住房制度改革的责任。拟订住房政策、住房保障政策和住房制度改革方案，并指导实施。组织编制全市住房发展规划和住房保障发展规划、年度计划并监督实施。推进全市住房保障体系建设，建立并指导保障性安居工程运营管理制度的实施。监督全市除住房公积金外的其他住房资金的管理、使用和安全。会同有关部门做好中央、省、市有关廉租住房资金安排，指导和监督县、区组织实施。</w:t>
      </w:r>
    </w:p>
    <w:p>
      <w:pPr>
        <w:ind w:firstLine="560"/>
      </w:pPr>
      <w:r>
        <w:rPr>
          <w:rFonts w:hint="eastAsia"/>
        </w:rPr>
        <w:t>3、承担规范房地产市场秩序、监督管理房地产市场的责任。拟订房地产业发展和市场监管政策并监督执行。提出房地产业的行业发展规划并监督实施。制定房地产开发、住宅产业化与性能认定、房屋租赁、房地产估价与经纪管理、物业管理、装饰装修、国有土地上房屋征收等规章制度并监督执行。参与制定全市国有土地出让计划。配合做好房地产交易与产权管理相关工作。</w:t>
      </w:r>
    </w:p>
    <w:p>
      <w:pPr>
        <w:ind w:firstLine="560"/>
      </w:pPr>
      <w:r>
        <w:rPr>
          <w:rFonts w:hint="eastAsia"/>
        </w:rPr>
        <w:t xml:space="preserve">4、承担设计行业发展和管理的责任。拟订工程勘察设计咨询业发展规划、技术政策和规章制度。指导城市设计、建筑设计、工程勘察设计工作，会同有关部门负责历史文化名城（名镇、名村）和历史文化保护区的申报、保护规划的审查报批和监督实施工作。监督管理施工图设计审查工作。组织编制城乡建设抗震防灾规划、应急避难场所布局规划并监督实施，负责各类房屋建筑及其附属设施和市政设施的抗震设防工作，指导应急避难场所建设工作。 </w:t>
      </w:r>
    </w:p>
    <w:p>
      <w:pPr>
        <w:ind w:firstLine="560"/>
      </w:pPr>
      <w:r>
        <w:rPr>
          <w:rFonts w:hint="eastAsia"/>
        </w:rPr>
        <w:t>5、拟订城市建设综合性发展规划。拟订全市城市市政基础设施和市政公用事业发展规划并指导实施。负责全市市政公用事业发展和市政基础设施建设、管理的责任。研究提出全市重大基础设施项目建设方案。推进海绵城市、城市地下综合管廊建设管理工作。负责人居环境奖评选的组织推荐和申报工作。参与生态文明、智慧城市、苏北发展工作。</w:t>
      </w:r>
    </w:p>
    <w:p>
      <w:pPr>
        <w:ind w:firstLine="560"/>
      </w:pPr>
      <w:r>
        <w:rPr>
          <w:rFonts w:hint="eastAsia"/>
        </w:rPr>
        <w:t>6、承担监督指导全市城市园林绿化工作的责任。制定全市城市园林绿化政策、发展规划、技术规范并指导实施。指导城市规划区内的绿地系统构建、生物多样性及古树名木保护等工作。指导城市公园建设管理、古典园林保护修复、传统园林营造技艺传承等工作。指导县区创建“园林城市”、“生态园林城市”。负责组织各种园林园艺展览和交流活动。</w:t>
      </w:r>
    </w:p>
    <w:p>
      <w:pPr>
        <w:ind w:firstLine="560"/>
      </w:pPr>
      <w:r>
        <w:rPr>
          <w:rFonts w:hint="eastAsia"/>
        </w:rPr>
        <w:t>7、协同推进乡村振兴战略，参与村镇建设规划编制，指导村庄和小城镇建设工作。指导农村住房建设和危房改造。配合开展小城镇人居环境改善工作。指导全市美丽宜居乡村建设工程、特色田园乡村、重点中心镇和特色小城镇的建设，指导农民群众住房条件改善工作，指导传统村落保护和发展工作。</w:t>
      </w:r>
    </w:p>
    <w:p>
      <w:pPr>
        <w:ind w:firstLine="560"/>
      </w:pPr>
      <w:r>
        <w:rPr>
          <w:rFonts w:hint="eastAsia"/>
        </w:rPr>
        <w:t>8、承担建立科学规范的工程建设标准体系的责任。制定和发布工程建设地方标准及标准设计并监督执行。负责组织工程建设实施阶段全国、全省统一定额、计价依据和工程造价管理规章制度，拟订工程造价的管理制度。监督各类工程建设工程造价计价，组织发布工程造价信息。</w:t>
      </w:r>
    </w:p>
    <w:p>
      <w:pPr>
        <w:ind w:firstLine="560"/>
      </w:pPr>
      <w:r>
        <w:rPr>
          <w:rFonts w:hint="eastAsia"/>
        </w:rPr>
        <w:t>9、承担监督管理建筑市场、规范市场各方主体行为、推进建筑业发展的责任。拟订建筑业行业发展战略、中长期规划、改革方案、产业政策、规章制度并监督执行。制定规范建筑市场主体及中介服务机构行为的规章制度并监督实施。指导房屋建筑和市政基础设施工程项目招投标活动、施工许可、竣工验收的监督管理。负责工程建设实施阶段的监督管理，指导工程项目建设、合同管理和工程风险管理。促进建筑企业对外开拓市场、参与国际工程承包。拟订全市政府投资工程集中建设的规章制度并监督执行。负责市级政府投资非盈利性工程项目集中建设日常指导和监管。</w:t>
      </w:r>
    </w:p>
    <w:p>
      <w:pPr>
        <w:ind w:firstLine="560"/>
      </w:pPr>
      <w:r>
        <w:rPr>
          <w:rFonts w:hint="eastAsia"/>
        </w:rPr>
        <w:t>10、承担建筑工程质量安全监管的责任。制定建筑工程质量、安全生产的规章制度，负责房屋建筑、市政基础设施、园林绿化、人民防空工程质量监督、安全监督工作。制定建筑业技术政策并指导实施。参与市政府组织的工程重大安全事故的调查处理，参与国家和省、市审批立项的房屋建筑、市政基础设施和人民防空重大建设项目工程质量、安全、施工现场监管和竣工验收的管理工作。组织评审市级优质工程，审核推荐省级优质工程。</w:t>
      </w:r>
    </w:p>
    <w:p>
      <w:pPr>
        <w:ind w:firstLine="560"/>
      </w:pPr>
      <w:r>
        <w:rPr>
          <w:rFonts w:hint="eastAsia"/>
        </w:rPr>
        <w:t>11、承担推进科技进步、绿色建筑发展、建筑节能、城镇建筑减排的责任。会同有关部门制定全市建设科技发展规划、年度计划和技术经济政策并指导实施。会同有关部门拟订绿色建筑、智慧建筑和建筑节能的政策、规划并监督实施。组织建筑行业重大科技项目研究和重大建筑节能项目实施。组织开展重大科技项目攻关、科技成果转化、新技术开发、技术引进及新材料的推广和应用工作。推进建筑产业现代化。指导建筑能效测评和绿色建筑标识管理。</w:t>
      </w:r>
    </w:p>
    <w:p>
      <w:pPr>
        <w:ind w:firstLine="560"/>
      </w:pPr>
      <w:r>
        <w:rPr>
          <w:rFonts w:hint="eastAsia"/>
        </w:rPr>
        <w:t>12、负责编制城市人民防空建设发展中长期规划和人防工程专项规划。编制人民防空经费预算，依法筹集人民防空建设经费。监督人民防空工程建设参与主体行为。负责人民防空国有资产管理。负责城市地下空间开发利用中人民防空防护等事项的管理和监督检查工作。承担已建人民防空工程的维护、使用安全管理责任。制定全市人民防空宣传、教育计划并督促贯彻实施。拟订市人民防空指挥系统转入战时体制方案。指导制定城市防空袭方案和重要经济目标防护方案。组织制定城市人口疏散计划。组织人民防空演习。负责本市人民防空信息化及警报建设和管理工作。保障市委、市政府、军分区组织指挥全市人民防空行动。</w:t>
      </w:r>
    </w:p>
    <w:p>
      <w:pPr>
        <w:ind w:firstLine="560"/>
      </w:pPr>
      <w:r>
        <w:rPr>
          <w:rFonts w:hint="eastAsia"/>
        </w:rPr>
        <w:t>13、拟订监测台网规划。拟订市级防震减灾规划，编制年度防震减灾经费预算。划定地震监测环境保护范围，依法保护地震监测设施和地震观测环境。负责全市各类地震台网管理工作，建立健全地震信息共享平台。承担日常地震活动监测预报工作。根据地震监测信息研究结果，对可能发生地震的地点、时间和震级做出预测。组织做好震情跟踪、流动观测和可能与地震有关的异常现象观测以及群测群防工作。承担全市震害防御管理工作。监督管理以地震烈度或地震动参数表述的抗震设防要求执行情况、地震安全性评价工作。</w:t>
      </w:r>
    </w:p>
    <w:p>
      <w:pPr>
        <w:ind w:firstLine="560"/>
      </w:pPr>
      <w:r>
        <w:rPr>
          <w:rFonts w:hint="eastAsia"/>
        </w:rPr>
        <w:t>14、负责全市住房和城乡建设行业安全生产的监督管理，参与有关事故的调查处理及应急管理工作。组织开展行业安全生产检查和专项督查。推进本行业安全生产标准化建设。</w:t>
      </w:r>
    </w:p>
    <w:p>
      <w:pPr>
        <w:ind w:firstLine="560"/>
      </w:pPr>
      <w:r>
        <w:rPr>
          <w:rFonts w:hint="eastAsia"/>
        </w:rPr>
        <w:t>15、指导全市住房和城乡建设行业的人才培养、职业教育、执业资格考试与注册管理工作。指导住房和城乡建设档案工作。组织对外交流与合作。</w:t>
      </w:r>
    </w:p>
    <w:p>
      <w:pPr>
        <w:ind w:firstLine="560"/>
      </w:pPr>
      <w:r>
        <w:rPr>
          <w:rFonts w:hint="eastAsia"/>
        </w:rPr>
        <w:t>16、完成市委、市政府交办的其他任务。</w:t>
      </w:r>
    </w:p>
    <w:p>
      <w:pPr>
        <w:pStyle w:val="4"/>
        <w:ind w:firstLine="643"/>
      </w:pPr>
      <w:bookmarkStart w:id="5" w:name="_Toc30785"/>
      <w:bookmarkStart w:id="6" w:name="_Toc24929"/>
      <w:bookmarkStart w:id="7" w:name="_Toc13670"/>
      <w:bookmarkStart w:id="8" w:name="_Toc14834"/>
      <w:r>
        <w:rPr>
          <w:rFonts w:hint="eastAsia"/>
        </w:rPr>
        <w:t>1.2</w:t>
      </w:r>
      <w:r>
        <w:rPr>
          <w:rFonts w:hint="eastAsia"/>
          <w:lang w:val="en-US" w:eastAsia="zh-CN"/>
        </w:rPr>
        <w:t xml:space="preserve"> </w:t>
      </w:r>
      <w:r>
        <w:rPr>
          <w:rFonts w:hint="eastAsia"/>
        </w:rPr>
        <w:t>部门收支描述</w:t>
      </w:r>
      <w:bookmarkEnd w:id="5"/>
      <w:bookmarkEnd w:id="6"/>
      <w:bookmarkEnd w:id="7"/>
      <w:bookmarkEnd w:id="8"/>
    </w:p>
    <w:p>
      <w:pPr>
        <w:ind w:firstLine="560"/>
      </w:pPr>
      <w:r>
        <w:rPr>
          <w:rFonts w:hint="eastAsia"/>
        </w:rPr>
        <w:t>202</w:t>
      </w:r>
      <w:r>
        <w:rPr>
          <w:rFonts w:hint="eastAsia"/>
          <w:lang w:val="en-US" w:eastAsia="zh-CN"/>
        </w:rPr>
        <w:t>2</w:t>
      </w:r>
      <w:r>
        <w:rPr>
          <w:rFonts w:hint="eastAsia"/>
        </w:rPr>
        <w:t>年度收入、支出决算总计</w:t>
      </w:r>
      <w:r>
        <w:rPr>
          <w:rFonts w:hint="eastAsia"/>
          <w:lang w:val="en-US" w:eastAsia="zh-CN"/>
        </w:rPr>
        <w:t>44656.84</w:t>
      </w:r>
      <w:r>
        <w:rPr>
          <w:rFonts w:hint="eastAsia"/>
        </w:rPr>
        <w:t>万元。与上年相比，收、支总计各增加</w:t>
      </w:r>
      <w:r>
        <w:rPr>
          <w:rFonts w:hint="eastAsia"/>
          <w:lang w:val="en-US" w:eastAsia="zh-CN"/>
        </w:rPr>
        <w:t>1986.9</w:t>
      </w:r>
      <w:r>
        <w:rPr>
          <w:rFonts w:hint="eastAsia"/>
        </w:rPr>
        <w:t>万元，增长</w:t>
      </w:r>
      <w:r>
        <w:rPr>
          <w:rFonts w:hint="eastAsia"/>
          <w:lang w:val="en-US" w:eastAsia="zh-CN"/>
        </w:rPr>
        <w:t>4.66</w:t>
      </w:r>
      <w:r>
        <w:rPr>
          <w:rFonts w:hint="eastAsia"/>
        </w:rPr>
        <w:t>%。其中：</w:t>
      </w:r>
    </w:p>
    <w:p>
      <w:pPr>
        <w:ind w:firstLine="560"/>
      </w:pPr>
      <w:r>
        <w:rPr>
          <w:rFonts w:hint="eastAsia"/>
        </w:rPr>
        <w:t>（一）收入决算总计</w:t>
      </w:r>
      <w:r>
        <w:rPr>
          <w:rFonts w:hint="eastAsia"/>
          <w:lang w:val="en-US" w:eastAsia="zh-CN"/>
        </w:rPr>
        <w:t>44656.84</w:t>
      </w:r>
      <w:r>
        <w:rPr>
          <w:rFonts w:hint="eastAsia"/>
        </w:rPr>
        <w:t>万元。包括：</w:t>
      </w:r>
    </w:p>
    <w:p>
      <w:pPr>
        <w:ind w:firstLine="560"/>
      </w:pPr>
      <w:r>
        <w:rPr>
          <w:rFonts w:hint="eastAsia"/>
        </w:rPr>
        <w:t>1.本年收入决算合计</w:t>
      </w:r>
      <w:r>
        <w:rPr>
          <w:rFonts w:hint="eastAsia"/>
          <w:lang w:val="en-US" w:eastAsia="zh-CN"/>
        </w:rPr>
        <w:t>44563.81</w:t>
      </w:r>
      <w:r>
        <w:rPr>
          <w:rFonts w:hint="eastAsia"/>
        </w:rPr>
        <w:t>万元。与上年相比，增加</w:t>
      </w:r>
      <w:r>
        <w:rPr>
          <w:rFonts w:hint="eastAsia"/>
          <w:lang w:val="en-US" w:eastAsia="zh-CN"/>
        </w:rPr>
        <w:t>2343.27</w:t>
      </w:r>
      <w:r>
        <w:rPr>
          <w:rFonts w:hint="eastAsia"/>
        </w:rPr>
        <w:t>万元，增长</w:t>
      </w:r>
      <w:r>
        <w:rPr>
          <w:rFonts w:hint="eastAsia"/>
          <w:lang w:val="en-US" w:eastAsia="zh-CN"/>
        </w:rPr>
        <w:t>5.55</w:t>
      </w:r>
      <w:r>
        <w:rPr>
          <w:rFonts w:hint="eastAsia"/>
        </w:rPr>
        <w:t>%，变动原因：主要是202</w:t>
      </w:r>
      <w:r>
        <w:rPr>
          <w:rFonts w:hint="eastAsia"/>
          <w:lang w:val="en-US" w:eastAsia="zh-CN"/>
        </w:rPr>
        <w:t>2</w:t>
      </w:r>
      <w:r>
        <w:rPr>
          <w:rFonts w:hint="eastAsia"/>
        </w:rPr>
        <w:t>年城市基础设施配套费收入的增加。</w:t>
      </w:r>
    </w:p>
    <w:p>
      <w:pPr>
        <w:ind w:firstLine="560"/>
      </w:pPr>
      <w:r>
        <w:rPr>
          <w:rFonts w:hint="eastAsia"/>
        </w:rPr>
        <w:t>2.使用非财政拨款结余0万元。与上年决算数相同。</w:t>
      </w:r>
    </w:p>
    <w:p>
      <w:pPr>
        <w:ind w:firstLine="560"/>
      </w:pPr>
      <w:r>
        <w:rPr>
          <w:rFonts w:hint="eastAsia"/>
        </w:rPr>
        <w:t>3.年初结转和结余</w:t>
      </w:r>
      <w:r>
        <w:rPr>
          <w:rFonts w:hint="eastAsia"/>
          <w:lang w:val="en-US" w:eastAsia="zh-CN"/>
        </w:rPr>
        <w:t>93.03</w:t>
      </w:r>
      <w:r>
        <w:rPr>
          <w:rFonts w:hint="eastAsia"/>
        </w:rPr>
        <w:t>万元。与上年相比，减少</w:t>
      </w:r>
      <w:r>
        <w:rPr>
          <w:rFonts w:hint="eastAsia"/>
          <w:lang w:val="en-US" w:eastAsia="zh-CN"/>
        </w:rPr>
        <w:t>356.37</w:t>
      </w:r>
      <w:r>
        <w:rPr>
          <w:rFonts w:hint="eastAsia"/>
        </w:rPr>
        <w:t>万元，减少</w:t>
      </w:r>
      <w:r>
        <w:rPr>
          <w:rFonts w:hint="eastAsia"/>
          <w:lang w:val="en-US" w:eastAsia="zh-CN"/>
        </w:rPr>
        <w:t>79.3</w:t>
      </w:r>
      <w:r>
        <w:rPr>
          <w:rFonts w:hint="eastAsia"/>
        </w:rPr>
        <w:t>%，变动原因：上年的年初结转结余是2019年或以前年度预算安排的城市基础设施建设等项目无法按原计划实施，需要延迟到以后年度按有关规定使用的资金。</w:t>
      </w:r>
    </w:p>
    <w:p>
      <w:pPr>
        <w:ind w:firstLine="560"/>
      </w:pPr>
      <w:r>
        <w:rPr>
          <w:rFonts w:hint="eastAsia"/>
        </w:rPr>
        <w:t>（二）支出决算总计42,669.94万元。包括：</w:t>
      </w:r>
    </w:p>
    <w:p>
      <w:pPr>
        <w:ind w:firstLine="560"/>
        <w:rPr>
          <w:rFonts w:hint="eastAsia"/>
          <w:lang w:val="en-US" w:eastAsia="zh-CN"/>
        </w:rPr>
      </w:pPr>
      <w:r>
        <w:rPr>
          <w:rFonts w:hint="eastAsia"/>
        </w:rPr>
        <w:t>1.本年支出决算合计</w:t>
      </w:r>
      <w:r>
        <w:rPr>
          <w:rFonts w:hint="eastAsia"/>
          <w:lang w:val="en-US" w:eastAsia="zh-CN"/>
        </w:rPr>
        <w:t>44537.41</w:t>
      </w:r>
      <w:r>
        <w:rPr>
          <w:rFonts w:hint="eastAsia"/>
        </w:rPr>
        <w:t>万元。与上年相比，增加</w:t>
      </w:r>
      <w:r>
        <w:rPr>
          <w:rFonts w:hint="eastAsia"/>
          <w:lang w:val="en-US" w:eastAsia="zh-CN"/>
        </w:rPr>
        <w:t>2011.84</w:t>
      </w:r>
      <w:r>
        <w:rPr>
          <w:rFonts w:hint="eastAsia"/>
        </w:rPr>
        <w:t>万元，增长</w:t>
      </w:r>
      <w:r>
        <w:rPr>
          <w:rFonts w:hint="eastAsia"/>
          <w:lang w:val="en-US" w:eastAsia="zh-CN"/>
        </w:rPr>
        <w:t>4.73</w:t>
      </w:r>
      <w:r>
        <w:rPr>
          <w:rFonts w:hint="eastAsia"/>
        </w:rPr>
        <w:t>%，变动原因：主要是</w:t>
      </w:r>
      <w:r>
        <w:rPr>
          <w:rFonts w:hint="eastAsia"/>
          <w:lang w:val="en-US" w:eastAsia="zh-CN"/>
        </w:rPr>
        <w:t>城区道路快速路改造等支出增加。</w:t>
      </w:r>
    </w:p>
    <w:p>
      <w:pPr>
        <w:ind w:firstLine="560"/>
      </w:pPr>
      <w:r>
        <w:rPr>
          <w:rFonts w:hint="eastAsia"/>
        </w:rPr>
        <w:t>2.结余分配0万元。与上年决算数相同。</w:t>
      </w:r>
    </w:p>
    <w:p>
      <w:pPr>
        <w:ind w:firstLine="560"/>
      </w:pPr>
      <w:r>
        <w:rPr>
          <w:rFonts w:hint="eastAsia"/>
        </w:rPr>
        <w:t>3.年末结转和结余</w:t>
      </w:r>
      <w:r>
        <w:rPr>
          <w:rFonts w:hint="eastAsia"/>
          <w:lang w:val="en-US" w:eastAsia="zh-CN"/>
        </w:rPr>
        <w:t>119.42</w:t>
      </w:r>
      <w:r>
        <w:rPr>
          <w:rFonts w:hint="eastAsia"/>
        </w:rPr>
        <w:t>万元。结转和结余事项：主要是人民防空、其他城乡社区管理等结转结余资金。与上年相比，减少</w:t>
      </w:r>
      <w:r>
        <w:rPr>
          <w:rFonts w:hint="eastAsia"/>
          <w:lang w:val="en-US" w:eastAsia="zh-CN"/>
        </w:rPr>
        <w:t>24.96</w:t>
      </w:r>
      <w:r>
        <w:rPr>
          <w:rFonts w:hint="eastAsia"/>
        </w:rPr>
        <w:t>万元，减少</w:t>
      </w:r>
      <w:r>
        <w:rPr>
          <w:rFonts w:hint="eastAsia"/>
          <w:lang w:val="en-US" w:eastAsia="zh-CN"/>
        </w:rPr>
        <w:t>17.29</w:t>
      </w:r>
      <w:r>
        <w:rPr>
          <w:rFonts w:hint="eastAsia"/>
        </w:rPr>
        <w:t>%，变动原因：需要延迟到以后年度按有关规定使用的资金的减少。</w:t>
      </w:r>
    </w:p>
    <w:p>
      <w:pPr>
        <w:pStyle w:val="4"/>
        <w:ind w:firstLine="643"/>
      </w:pPr>
      <w:bookmarkStart w:id="9" w:name="_Toc21019"/>
      <w:bookmarkStart w:id="10" w:name="_Toc4970"/>
      <w:bookmarkStart w:id="11" w:name="_Toc19995"/>
      <w:bookmarkStart w:id="12" w:name="_Toc16971"/>
      <w:r>
        <w:rPr>
          <w:rFonts w:hint="eastAsia"/>
        </w:rPr>
        <w:t>1.3</w:t>
      </w:r>
      <w:r>
        <w:rPr>
          <w:rFonts w:hint="eastAsia"/>
          <w:lang w:val="en-US" w:eastAsia="zh-CN"/>
        </w:rPr>
        <w:t xml:space="preserve"> </w:t>
      </w:r>
      <w:r>
        <w:rPr>
          <w:rFonts w:hint="eastAsia"/>
        </w:rPr>
        <w:t>部门项目实施情况</w:t>
      </w:r>
      <w:bookmarkEnd w:id="9"/>
      <w:bookmarkEnd w:id="10"/>
      <w:bookmarkEnd w:id="11"/>
      <w:bookmarkEnd w:id="12"/>
    </w:p>
    <w:p>
      <w:pPr>
        <w:ind w:firstLine="560"/>
        <w:rPr>
          <w:rFonts w:hint="eastAsia"/>
        </w:rPr>
      </w:pPr>
      <w:r>
        <w:rPr>
          <w:rFonts w:hint="eastAsia"/>
        </w:rPr>
        <w:t>2022年，全市完成投资820亿元，全市新建项目开工483个，续建项目复工384个。</w:t>
      </w:r>
    </w:p>
    <w:p>
      <w:pPr>
        <w:ind w:firstLine="560"/>
        <w:rPr>
          <w:rFonts w:hint="eastAsia"/>
        </w:rPr>
      </w:pPr>
      <w:r>
        <w:rPr>
          <w:rFonts w:hint="eastAsia"/>
        </w:rPr>
        <w:t>（一）全力争创生态园林城市。发挥“山海相拥、港城相融”禀赋特色，在建成省级生态园林城市的基础上，全市新增绿地200公顷，市区建成区绿地率达38.8%以上，绿化覆盖率达42.7%以上，人均公园绿地面积达15.8平方米/人，2023年实现公园绿地10分钟服务圈覆盖率92%以上。</w:t>
      </w:r>
    </w:p>
    <w:p>
      <w:pPr>
        <w:ind w:firstLine="560"/>
        <w:rPr>
          <w:rFonts w:hint="eastAsia"/>
        </w:rPr>
      </w:pPr>
      <w:r>
        <w:rPr>
          <w:rFonts w:hint="eastAsia"/>
        </w:rPr>
        <w:t>（二）提升城市公园景观品质。推进“乐享园林”工程、城市绿道建设贯通，重点办好第十二届省园博会开幕，新改建月牙岛公园、连云区湖心公园等大中型公园3个。推进花园式街巷建设。打造“小而精、小而美、小而特、小而优”的口袋公园20个，建成“可进入、可参与、高颜值、景区化”绿道30公里。</w:t>
      </w:r>
    </w:p>
    <w:p>
      <w:pPr>
        <w:ind w:firstLine="560"/>
        <w:rPr>
          <w:rFonts w:hint="eastAsia"/>
        </w:rPr>
      </w:pPr>
      <w:r>
        <w:rPr>
          <w:rFonts w:hint="eastAsia"/>
        </w:rPr>
        <w:t>（</w:t>
      </w:r>
      <w:r>
        <w:rPr>
          <w:rFonts w:hint="eastAsia"/>
          <w:lang w:val="en-US" w:eastAsia="zh-CN"/>
        </w:rPr>
        <w:t>三</w:t>
      </w:r>
      <w:r>
        <w:rPr>
          <w:rFonts w:hint="eastAsia"/>
        </w:rPr>
        <w:t>）优化城市路网体系。按照“有节奏、分阶段、先急后缓”原则，强化组团快联，推进秦东门大街东延等主干道建设及快速路改造。打通“断点”、疏解“堵点”，打通陇海西路等5条“断头路”，强化巨龙路、盐河巷等10处道路交叉口、重点区域和路段交通拥堵治理，全面优化城市路网结构。</w:t>
      </w:r>
    </w:p>
    <w:p>
      <w:pPr>
        <w:ind w:firstLine="560"/>
        <w:rPr>
          <w:rFonts w:hint="eastAsia"/>
        </w:rPr>
      </w:pPr>
      <w:r>
        <w:rPr>
          <w:rFonts w:hint="eastAsia"/>
        </w:rPr>
        <w:t>（</w:t>
      </w:r>
      <w:r>
        <w:rPr>
          <w:rFonts w:hint="eastAsia"/>
          <w:lang w:val="en-US" w:eastAsia="zh-CN"/>
        </w:rPr>
        <w:t>四</w:t>
      </w:r>
      <w:r>
        <w:rPr>
          <w:rFonts w:hint="eastAsia"/>
        </w:rPr>
        <w:t>）提升公共服务配套。按照港产城一体化融合发展任务要求，开展完整居住社区设施补短板行动，强化城市家具智慧化改造，实施路灯节能改造6500套。健全城市“15分钟社区服务圈”“10分钟体育健身圈”“5分钟便民生活圈”，重点实施异地新建市疾控中心、第四人民医院改扩建、各类便民及卫生服务中心等项目。</w:t>
      </w:r>
    </w:p>
    <w:p>
      <w:pPr>
        <w:ind w:firstLine="560"/>
        <w:rPr>
          <w:rFonts w:hint="eastAsia"/>
        </w:rPr>
      </w:pPr>
      <w:r>
        <w:rPr>
          <w:rFonts w:hint="eastAsia"/>
        </w:rPr>
        <w:t xml:space="preserve"> （</w:t>
      </w:r>
      <w:r>
        <w:rPr>
          <w:rFonts w:hint="eastAsia"/>
          <w:lang w:val="en-US" w:eastAsia="zh-CN"/>
        </w:rPr>
        <w:t>五</w:t>
      </w:r>
      <w:r>
        <w:rPr>
          <w:rFonts w:hint="eastAsia"/>
        </w:rPr>
        <w:t xml:space="preserve">）强化公用设施保障。加快实施茅口水厂三期工程。建成大浦污水处理厂三期工程，力争年内新增污水处理能力7万吨/日。新改建污水管网50公里。提升城市生活污水集中收集率。着力推进“污水处理提质增效达标区”建设，完成“达标区”建设面积不少于建成区50%，全域推广建设海绵城市，建成区海绵城市达标率力争达35%。 </w:t>
      </w:r>
    </w:p>
    <w:p>
      <w:pPr>
        <w:ind w:firstLine="560"/>
        <w:rPr>
          <w:rFonts w:hint="eastAsia"/>
        </w:rPr>
      </w:pPr>
      <w:r>
        <w:rPr>
          <w:rFonts w:hint="eastAsia"/>
          <w:lang w:eastAsia="zh-CN"/>
        </w:rPr>
        <w:t>（</w:t>
      </w:r>
      <w:r>
        <w:rPr>
          <w:rFonts w:hint="eastAsia"/>
          <w:lang w:val="en-US" w:eastAsia="zh-CN"/>
        </w:rPr>
        <w:t>六</w:t>
      </w:r>
      <w:r>
        <w:rPr>
          <w:rFonts w:hint="eastAsia"/>
          <w:lang w:eastAsia="zh-CN"/>
        </w:rPr>
        <w:t>）</w:t>
      </w:r>
      <w:r>
        <w:rPr>
          <w:rFonts w:hint="eastAsia"/>
        </w:rPr>
        <w:t>坚决打赢疫情防控保卫战。全市828个物管小区，每日出动近6000人次，喷洒消毒液64余万瓶，消杀面积累计达到10.6亿平方米。同时，按照市委市政府主要领导指示要求，昼夜攻坚、强力推进，高效建成应急方舱核酸检测中心实验室，提升我市每日核酸检测能力至200万人次以上。2天改造并交付340套可供1000余名人员入住的应急防疫用房，10天建成设计收治1006张床位的连云港市方舱医院，7天建成1000间应急隔离集装箱酒店，用实际行动诠释了“马上落实，我来协调”主动担当的住建精神、住建速度。</w:t>
      </w:r>
    </w:p>
    <w:p>
      <w:pPr>
        <w:pStyle w:val="2"/>
        <w:rPr>
          <w:rFonts w:hint="eastAsia"/>
        </w:rPr>
      </w:pPr>
    </w:p>
    <w:p>
      <w:pPr>
        <w:pStyle w:val="3"/>
        <w:bidi w:val="0"/>
      </w:pPr>
      <w:bookmarkStart w:id="13" w:name="_Toc9338"/>
      <w:bookmarkStart w:id="14" w:name="_Toc18783"/>
      <w:bookmarkStart w:id="15" w:name="_Toc3936"/>
      <w:r>
        <w:rPr>
          <w:rFonts w:hint="eastAsia"/>
        </w:rPr>
        <w:t>2</w:t>
      </w:r>
      <w:r>
        <w:rPr>
          <w:rFonts w:hint="eastAsia"/>
          <w:lang w:val="en-US" w:eastAsia="zh-CN"/>
        </w:rPr>
        <w:t xml:space="preserve"> </w:t>
      </w:r>
      <w:r>
        <w:rPr>
          <w:rFonts w:hint="eastAsia"/>
        </w:rPr>
        <w:t>绩效评价概述</w:t>
      </w:r>
      <w:bookmarkEnd w:id="13"/>
      <w:bookmarkEnd w:id="14"/>
      <w:bookmarkEnd w:id="15"/>
    </w:p>
    <w:p>
      <w:pPr>
        <w:pStyle w:val="4"/>
        <w:ind w:firstLine="643"/>
      </w:pPr>
      <w:bookmarkStart w:id="16" w:name="_Toc25584"/>
      <w:bookmarkStart w:id="17" w:name="_Toc16756"/>
      <w:bookmarkStart w:id="18" w:name="_Toc12866"/>
      <w:bookmarkStart w:id="19" w:name="_Toc4271"/>
      <w:r>
        <w:rPr>
          <w:rFonts w:hint="eastAsia"/>
        </w:rPr>
        <w:t>2.1</w:t>
      </w:r>
      <w:r>
        <w:rPr>
          <w:rFonts w:hint="eastAsia"/>
          <w:lang w:val="en-US" w:eastAsia="zh-CN"/>
        </w:rPr>
        <w:t xml:space="preserve"> </w:t>
      </w:r>
      <w:r>
        <w:rPr>
          <w:rFonts w:hint="eastAsia"/>
        </w:rPr>
        <w:t>绩效评价目的</w:t>
      </w:r>
      <w:bookmarkEnd w:id="16"/>
      <w:bookmarkEnd w:id="17"/>
      <w:bookmarkEnd w:id="18"/>
    </w:p>
    <w:p>
      <w:pPr>
        <w:ind w:firstLine="560"/>
        <w:rPr>
          <w:rFonts w:hint="eastAsia"/>
          <w:lang w:val="en-US" w:eastAsia="zh-CN"/>
        </w:rPr>
      </w:pPr>
      <w:r>
        <w:rPr>
          <w:rFonts w:hint="eastAsia"/>
          <w:lang w:val="en-US" w:eastAsia="zh-CN"/>
        </w:rPr>
        <w:t>通过开展部门整体支出绩效评价，了解部门整体支出是否达到了预期目标、资金管理是否规范、资金使用是否有效，检验资金支出效率和效果，分析存在的问题及原因，及时总结经验，改进管理措施，不断增强和落实绩效管理责任，进一步规范财政资金的管理，强化财政支出绩效理念，提升部门责任意识，提高资金使用效益。</w:t>
      </w:r>
    </w:p>
    <w:p>
      <w:pPr>
        <w:pStyle w:val="4"/>
        <w:ind w:firstLine="643"/>
        <w:rPr>
          <w:bCs/>
          <w:szCs w:val="32"/>
        </w:rPr>
      </w:pPr>
      <w:bookmarkStart w:id="20" w:name="_Toc15409"/>
      <w:bookmarkStart w:id="21" w:name="_Toc19501"/>
      <w:bookmarkStart w:id="22" w:name="_Toc6560"/>
      <w:r>
        <w:rPr>
          <w:rFonts w:hint="eastAsia"/>
        </w:rPr>
        <w:t>2.2</w:t>
      </w:r>
      <w:r>
        <w:rPr>
          <w:rFonts w:hint="eastAsia"/>
          <w:lang w:val="en-US" w:eastAsia="zh-CN"/>
        </w:rPr>
        <w:t xml:space="preserve"> </w:t>
      </w:r>
      <w:r>
        <w:rPr>
          <w:rFonts w:hint="eastAsia"/>
        </w:rPr>
        <w:t>绩效评价实施过程</w:t>
      </w:r>
      <w:bookmarkEnd w:id="19"/>
      <w:bookmarkEnd w:id="20"/>
      <w:bookmarkEnd w:id="21"/>
      <w:bookmarkEnd w:id="22"/>
    </w:p>
    <w:p>
      <w:pPr>
        <w:ind w:firstLine="560"/>
      </w:pPr>
      <w:r>
        <w:rPr>
          <w:rFonts w:hint="eastAsia"/>
        </w:rPr>
        <w:t>1、前期准备。按照市财政局《关于开展202</w:t>
      </w:r>
      <w:r>
        <w:rPr>
          <w:rFonts w:hint="eastAsia"/>
          <w:lang w:val="en-US" w:eastAsia="zh-CN"/>
        </w:rPr>
        <w:t>3</w:t>
      </w:r>
      <w:r>
        <w:rPr>
          <w:rFonts w:hint="eastAsia"/>
        </w:rPr>
        <w:t>年度部门整体绩效自评价工作的通知》（连财绩〔202</w:t>
      </w:r>
      <w:r>
        <w:rPr>
          <w:rFonts w:hint="eastAsia"/>
          <w:lang w:val="en-US" w:eastAsia="zh-CN"/>
        </w:rPr>
        <w:t>3</w:t>
      </w:r>
      <w:r>
        <w:rPr>
          <w:rFonts w:hint="eastAsia"/>
        </w:rPr>
        <w:t>〕3号）、《连云港市市级财政预算绩效目标管理办法》文件精神，连云港市住房和城乡建设局对绩效评价工作进行了动员部署，成立了整体绩效评价小组，进行任务分工，压实工作责任。要求各处室及相关人员根据通知，全面准备数据资料，组织自查、自评。</w:t>
      </w:r>
    </w:p>
    <w:p>
      <w:pPr>
        <w:ind w:firstLine="560"/>
      </w:pPr>
      <w:r>
        <w:rPr>
          <w:rFonts w:hint="eastAsia"/>
        </w:rPr>
        <w:t>评价小组收集有关资料后，了解评价内容，分工收集了部门整体绩效立项的文件、项目预算材料、项目工作总结，与相关负责人沟通，完善评价指标体系。</w:t>
      </w:r>
    </w:p>
    <w:p>
      <w:pPr>
        <w:ind w:firstLine="560"/>
        <w:rPr>
          <w:rFonts w:hint="eastAsia" w:ascii="宋体" w:hAnsi="宋体" w:eastAsia="宋体" w:cs="宋体"/>
          <w:color w:val="auto"/>
          <w:sz w:val="28"/>
          <w:szCs w:val="28"/>
        </w:rPr>
      </w:pPr>
      <w:r>
        <w:rPr>
          <w:rFonts w:hint="eastAsia" w:ascii="宋体" w:hAnsi="宋体" w:eastAsia="宋体" w:cs="宋体"/>
          <w:color w:val="auto"/>
          <w:sz w:val="28"/>
          <w:szCs w:val="28"/>
        </w:rPr>
        <w:t>2、组织实施。按照绩效评价的规范要求，对所有资料进行核实验证，采取账务核查、实地考察、集中座谈、当面访谈、问卷调查、随机抽样等方式，采集真实数据，开展统计汇总，做好相关记录，以此获取该项目运行情况及资金使用效益等绩效信息。经过对收集到的信息进行对比和验证，确定用于继续分析和评价的证据资料。</w:t>
      </w:r>
    </w:p>
    <w:p>
      <w:pPr>
        <w:ind w:firstLine="560"/>
      </w:pPr>
      <w:r>
        <w:rPr>
          <w:rFonts w:hint="eastAsia"/>
        </w:rPr>
        <w:t>3、分析评价。汇总分析评价数据，依据制订的评价指标，结合单位数据分布情况，参照标准和打分规则，对项目投入产出绩效进行量化打分。依据评价结论和部门整体立项、执行、管理、资金运用及使用情况，以及投入产出，撰写绩效评价报告，针对存在问题提出改进建议。</w:t>
      </w:r>
    </w:p>
    <w:p>
      <w:pPr>
        <w:pStyle w:val="4"/>
        <w:ind w:firstLine="643"/>
      </w:pPr>
      <w:bookmarkStart w:id="23" w:name="_Toc30807"/>
      <w:bookmarkStart w:id="24" w:name="_Toc4822"/>
      <w:bookmarkStart w:id="25" w:name="_Toc16961"/>
      <w:bookmarkStart w:id="26" w:name="_Toc22394"/>
      <w:r>
        <w:rPr>
          <w:rFonts w:hint="eastAsia"/>
        </w:rPr>
        <w:t>2.3</w:t>
      </w:r>
      <w:r>
        <w:rPr>
          <w:rFonts w:hint="eastAsia"/>
          <w:lang w:val="en-US" w:eastAsia="zh-CN"/>
        </w:rPr>
        <w:t xml:space="preserve"> </w:t>
      </w:r>
      <w:r>
        <w:rPr>
          <w:rFonts w:hint="eastAsia"/>
        </w:rPr>
        <w:t>绩效评价的局限性</w:t>
      </w:r>
      <w:bookmarkEnd w:id="23"/>
      <w:bookmarkEnd w:id="24"/>
      <w:bookmarkEnd w:id="25"/>
      <w:bookmarkEnd w:id="26"/>
    </w:p>
    <w:p>
      <w:pPr>
        <w:ind w:firstLine="560" w:firstLineChars="200"/>
        <w:rPr>
          <w:rFonts w:hint="default" w:ascii="宋体" w:hAnsi="宋体" w:eastAsia="宋体" w:cs="宋体"/>
          <w:color w:val="auto"/>
          <w:sz w:val="28"/>
          <w:szCs w:val="28"/>
          <w:lang w:val="en-US" w:eastAsia="zh-CN"/>
        </w:rPr>
      </w:pPr>
      <w:bookmarkStart w:id="27" w:name="_Toc32442"/>
      <w:r>
        <w:rPr>
          <w:rFonts w:hint="eastAsia" w:ascii="宋体" w:hAnsi="宋体" w:eastAsia="宋体" w:cs="宋体"/>
          <w:color w:val="auto"/>
          <w:sz w:val="28"/>
          <w:szCs w:val="28"/>
          <w:lang w:val="en-US" w:eastAsia="zh-CN"/>
        </w:rPr>
        <w:t>部门整体支出绩效目标与产出的数量指标、质量指标缺乏对应性，关联性和可操作性不强。</w:t>
      </w:r>
      <w:r>
        <w:rPr>
          <w:rFonts w:hint="default" w:ascii="宋体" w:hAnsi="宋体" w:eastAsia="宋体" w:cs="宋体"/>
          <w:color w:val="auto"/>
          <w:sz w:val="28"/>
          <w:szCs w:val="28"/>
          <w:lang w:val="en-US" w:eastAsia="zh-CN"/>
        </w:rPr>
        <w:t>项目绩效评价指标设定时，一些效果指标难以量化，如社会效益指标、可持续影响指标，这对全面反映项目绩效可能存在一定的局限性。</w:t>
      </w:r>
    </w:p>
    <w:p>
      <w:pPr>
        <w:ind w:firstLine="560" w:firstLineChars="20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本次部门整体支出绩效评价虽然在依据文件、评价流程、指标体系的构建、基础数据获取的要求、数据的采集、数据的汇总、评价方法、后期采用数学方法的处理等环节都力求规范、科学，但由于受到部门整体支出绩效评价指标体系设计、指标数据缺乏、经济性要求、时间要求所限，加之有些部门整体支出绩效评价指标的评价标准难以量化等因素，因此，部门整体支出绩效评价绩效评价的结果，在不影响总体可用的情况下，存在一定定量误差，实属正常。具体可能对部门整体支出绩效评价结果产生影响的因素包括：</w:t>
      </w:r>
    </w:p>
    <w:p>
      <w:pPr>
        <w:ind w:firstLine="560" w:firstLineChars="20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第一，在部门整体支出绩效评价的具体操作过程中，由于项目较为复杂、专业性强、涉及实施单位较多，在部门整体支出评价指标设定时，很难同时兼顾明确，具体和可衡量的标准。因此，使得定量、精准地反映部门整体支出的全部绩效变得非常困难。</w:t>
      </w:r>
    </w:p>
    <w:p>
      <w:pPr>
        <w:ind w:firstLine="560" w:firstLineChars="20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 xml:space="preserve"> 第二，全面、真实、有效、准确的数据资料是科学性和客观性评价的灵魂。本次部门支出绩效评价采集的数据资料受到采集时间、采集方法、数据资料来源影响，可能会出现一定的偏差。</w:t>
      </w:r>
    </w:p>
    <w:p>
      <w:pPr>
        <w:pStyle w:val="15"/>
        <w:rPr>
          <w:rFonts w:hint="eastAsia"/>
          <w:lang w:val="en-US" w:eastAsia="zh-CN"/>
        </w:rPr>
      </w:pPr>
    </w:p>
    <w:p>
      <w:pPr>
        <w:pStyle w:val="3"/>
        <w:bidi w:val="0"/>
      </w:pPr>
      <w:bookmarkStart w:id="28" w:name="_Toc9997"/>
      <w:bookmarkStart w:id="29" w:name="_Toc4525"/>
      <w:bookmarkStart w:id="30" w:name="_Toc27919"/>
      <w:r>
        <w:rPr>
          <w:rFonts w:hint="eastAsia"/>
        </w:rPr>
        <w:t>3</w:t>
      </w:r>
      <w:r>
        <w:rPr>
          <w:rFonts w:hint="eastAsia"/>
          <w:lang w:val="en-US" w:eastAsia="zh-CN"/>
        </w:rPr>
        <w:t xml:space="preserve"> </w:t>
      </w:r>
      <w:r>
        <w:rPr>
          <w:rFonts w:hint="eastAsia"/>
        </w:rPr>
        <w:t>部门整体绩效评价分析</w:t>
      </w:r>
      <w:bookmarkEnd w:id="27"/>
      <w:bookmarkEnd w:id="28"/>
      <w:bookmarkEnd w:id="29"/>
      <w:bookmarkEnd w:id="30"/>
    </w:p>
    <w:p>
      <w:pPr>
        <w:pStyle w:val="4"/>
        <w:bidi w:val="0"/>
        <w:rPr>
          <w:rFonts w:hint="eastAsia"/>
        </w:rPr>
      </w:pPr>
      <w:bookmarkStart w:id="31" w:name="_Toc28992"/>
      <w:bookmarkStart w:id="32" w:name="_Toc6883"/>
      <w:bookmarkStart w:id="33" w:name="_Toc27583"/>
      <w:bookmarkStart w:id="34" w:name="_Toc389"/>
      <w:bookmarkStart w:id="35" w:name="_Toc27950"/>
      <w:r>
        <w:rPr>
          <w:rFonts w:hint="eastAsia"/>
        </w:rPr>
        <w:t>3.1</w:t>
      </w:r>
      <w:r>
        <w:rPr>
          <w:rFonts w:hint="eastAsia"/>
          <w:lang w:val="en-US" w:eastAsia="zh-CN"/>
        </w:rPr>
        <w:t>决策</w:t>
      </w:r>
      <w:bookmarkEnd w:id="31"/>
      <w:bookmarkEnd w:id="32"/>
      <w:bookmarkEnd w:id="33"/>
      <w:bookmarkEnd w:id="34"/>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总分6分，自评得分6分。</w:t>
      </w:r>
    </w:p>
    <w:p>
      <w:pPr>
        <w:pStyle w:val="1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单位目标：</w:t>
      </w:r>
      <w:r>
        <w:rPr>
          <w:rFonts w:hint="eastAsia" w:ascii="宋体" w:hAnsi="宋体" w:eastAsia="宋体" w:cs="宋体"/>
          <w:sz w:val="28"/>
          <w:szCs w:val="28"/>
          <w:lang w:val="en-US" w:eastAsia="zh-CN"/>
        </w:rPr>
        <w:t>（一）坚持以新型基础设施建设为重点，加快提升城市功能品质。坚持以智能化、信息化、数字化为目标，完善城市功能设施，推动市政公用基础设施建设转型升级，加快建设新型智慧城市，提升城市宜居生活品质。</w:t>
      </w:r>
    </w:p>
    <w:p>
      <w:pPr>
        <w:pStyle w:val="15"/>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（二）坚持以建设新时代公园城市为抓手，彰显海滨城市特色风貌。发挥“山海相拥、港城相融”禀赋特色，遵循“带状城市、组团发展”空间特点，塑造海滨特色，打造城市绿脉，全面建设新时代公园城市。</w:t>
      </w:r>
    </w:p>
    <w:p>
      <w:pPr>
        <w:pStyle w:val="15"/>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坚持以人民群众生活改善为目标，持续更新提升人居环境。紧扣美丽宜居城市建设要求，推动城乡绿色发展，做好历史建筑的活化利用，不断满足人民群众日益增长的美好生活需要，提升群众宜居、安居幸福指数，全面建设“美丽宜居海滨新港城”。</w:t>
      </w:r>
    </w:p>
    <w:p>
      <w:pPr>
        <w:pStyle w:val="15"/>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（四）坚持以行业服务提质为总要求，全面落实行业监管。围绕行业发展、行业管控、应急管理等目标任务，严格落实安全生产，调优产业发展结构，深化行业监管服务，不断提升全市住建行业管理服务水平。</w:t>
      </w:r>
    </w:p>
    <w:p>
      <w:pPr>
        <w:pStyle w:val="15"/>
        <w:ind w:firstLine="562" w:firstLineChars="200"/>
        <w:rPr>
          <w:rFonts w:hint="eastAsia" w:ascii="宋体" w:hAnsi="宋体" w:eastAsia="宋体" w:cs="宋体"/>
          <w:sz w:val="28"/>
          <w:szCs w:val="28"/>
          <w:lang w:val="en-US" w:eastAsia="zh-CN"/>
        </w:rPr>
      </w:pPr>
      <w:r>
        <w:rPr>
          <w:rFonts w:hint="eastAsia" w:ascii="宋体" w:hAnsi="宋体" w:eastAsia="宋体" w:cs="宋体"/>
          <w:b/>
          <w:bCs/>
          <w:color w:val="000000"/>
          <w:sz w:val="28"/>
          <w:szCs w:val="28"/>
          <w:lang w:val="en-US" w:eastAsia="zh-CN" w:bidi="ar-SA"/>
        </w:rPr>
        <w:t>评价：</w:t>
      </w:r>
      <w:r>
        <w:rPr>
          <w:rFonts w:hint="eastAsia" w:ascii="宋体" w:hAnsi="宋体" w:eastAsia="宋体" w:cs="宋体"/>
          <w:b w:val="0"/>
          <w:color w:val="auto"/>
          <w:kern w:val="2"/>
          <w:sz w:val="28"/>
          <w:szCs w:val="28"/>
          <w:lang w:val="en-US" w:eastAsia="zh-CN" w:bidi="ar-SA"/>
        </w:rPr>
        <w:t>目标制定明确，符合单位职能，计划具体可操作性高。部门整体预算绩效目标细化分解为具体的重点工作任务；部门整体及项目的绩效指标清晰，指标值量化、可衡量。</w:t>
      </w:r>
    </w:p>
    <w:p>
      <w:pPr>
        <w:pStyle w:val="4"/>
        <w:bidi w:val="0"/>
        <w:rPr>
          <w:rFonts w:hint="eastAsia"/>
          <w:lang w:val="en-US" w:eastAsia="zh-CN"/>
        </w:rPr>
      </w:pPr>
      <w:bookmarkStart w:id="36" w:name="_Toc3241"/>
      <w:bookmarkStart w:id="37" w:name="_Toc27349"/>
      <w:bookmarkStart w:id="38" w:name="_Toc32175"/>
      <w:bookmarkStart w:id="39" w:name="_Toc20716"/>
      <w:r>
        <w:rPr>
          <w:rFonts w:hint="eastAsia"/>
        </w:rPr>
        <w:t>3.2</w:t>
      </w:r>
      <w:r>
        <w:rPr>
          <w:rFonts w:hint="eastAsia"/>
          <w:lang w:val="en-US" w:eastAsia="zh-CN"/>
        </w:rPr>
        <w:t>过程</w:t>
      </w:r>
      <w:bookmarkEnd w:id="36"/>
      <w:bookmarkEnd w:id="37"/>
      <w:bookmarkEnd w:id="38"/>
      <w:bookmarkEnd w:id="39"/>
    </w:p>
    <w:p>
      <w:pPr>
        <w:ind w:firstLine="560" w:firstLineChars="200"/>
        <w:rPr>
          <w:rFonts w:hint="eastAsia"/>
        </w:rPr>
      </w:pPr>
      <w:r>
        <w:rPr>
          <w:rFonts w:hint="eastAsia" w:ascii="宋体" w:hAnsi="宋体" w:eastAsia="宋体" w:cs="宋体"/>
          <w:sz w:val="28"/>
          <w:szCs w:val="28"/>
          <w:lang w:val="en-US" w:eastAsia="zh-CN"/>
        </w:rPr>
        <w:t>总分</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6分，自评得分</w:t>
      </w:r>
      <w:r>
        <w:rPr>
          <w:rFonts w:hint="eastAsia" w:ascii="宋体" w:hAnsi="宋体" w:cs="宋体"/>
          <w:sz w:val="28"/>
          <w:szCs w:val="28"/>
          <w:lang w:val="en-US" w:eastAsia="zh-CN"/>
        </w:rPr>
        <w:t>24.23</w:t>
      </w:r>
      <w:r>
        <w:rPr>
          <w:rFonts w:hint="eastAsia" w:ascii="宋体" w:hAnsi="宋体" w:eastAsia="宋体" w:cs="宋体"/>
          <w:sz w:val="28"/>
          <w:szCs w:val="28"/>
          <w:lang w:val="en-US" w:eastAsia="zh-CN"/>
        </w:rPr>
        <w:t>分。</w:t>
      </w:r>
    </w:p>
    <w:p>
      <w:pPr>
        <w:pStyle w:val="5"/>
        <w:bidi w:val="0"/>
        <w:rPr>
          <w:rFonts w:hint="default"/>
          <w:lang w:val="en-US" w:eastAsia="zh-CN"/>
        </w:rPr>
      </w:pPr>
      <w:bookmarkStart w:id="40" w:name="_Toc7702"/>
      <w:bookmarkStart w:id="41" w:name="_Toc13228"/>
      <w:r>
        <w:rPr>
          <w:rFonts w:hint="eastAsia"/>
          <w:lang w:val="en-US" w:eastAsia="zh-CN"/>
        </w:rPr>
        <w:t>3.2.1</w:t>
      </w:r>
      <w:bookmarkEnd w:id="40"/>
      <w:r>
        <w:rPr>
          <w:rFonts w:hint="eastAsia"/>
          <w:lang w:val="en-US" w:eastAsia="zh-CN"/>
        </w:rPr>
        <w:t>预算执行</w:t>
      </w:r>
      <w:bookmarkEnd w:id="41"/>
    </w:p>
    <w:p>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总分</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分，自评得分</w:t>
      </w:r>
      <w:r>
        <w:rPr>
          <w:rFonts w:hint="eastAsia" w:ascii="宋体" w:hAnsi="宋体" w:cs="宋体"/>
          <w:color w:val="auto"/>
          <w:sz w:val="28"/>
          <w:szCs w:val="28"/>
          <w:highlight w:val="none"/>
          <w:lang w:val="en-US" w:eastAsia="zh-CN"/>
        </w:rPr>
        <w:t>6.73</w:t>
      </w:r>
      <w:r>
        <w:rPr>
          <w:rFonts w:hint="eastAsia" w:ascii="宋体" w:hAnsi="宋体" w:eastAsia="宋体" w:cs="宋体"/>
          <w:color w:val="auto"/>
          <w:sz w:val="28"/>
          <w:szCs w:val="28"/>
          <w:highlight w:val="none"/>
          <w:lang w:val="en-US" w:eastAsia="zh-CN"/>
        </w:rPr>
        <w:t>分。</w:t>
      </w:r>
    </w:p>
    <w:p>
      <w:pPr>
        <w:pStyle w:val="15"/>
        <w:ind w:firstLine="560" w:firstLineChars="200"/>
        <w:rPr>
          <w:rFonts w:hint="default"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本年度由于疫情原因，部分项目开展较晚，预算执行进度缓慢，年度预算执行率较低。按比率扣1.27分。</w:t>
      </w:r>
    </w:p>
    <w:p>
      <w:pPr>
        <w:pStyle w:val="5"/>
        <w:bidi w:val="0"/>
        <w:rPr>
          <w:rFonts w:hint="eastAsia"/>
          <w:lang w:val="en-US" w:eastAsia="zh-CN"/>
        </w:rPr>
      </w:pPr>
      <w:bookmarkStart w:id="42" w:name="_Toc5206"/>
      <w:bookmarkStart w:id="43" w:name="_Toc27317"/>
      <w:r>
        <w:rPr>
          <w:rFonts w:hint="eastAsia"/>
          <w:lang w:val="en-US" w:eastAsia="zh-CN"/>
        </w:rPr>
        <w:t>3.2.2</w:t>
      </w:r>
      <w:bookmarkEnd w:id="42"/>
      <w:r>
        <w:rPr>
          <w:rFonts w:hint="eastAsia"/>
          <w:lang w:val="en-US" w:eastAsia="zh-CN"/>
        </w:rPr>
        <w:t>预算管理</w:t>
      </w:r>
      <w:bookmarkEnd w:id="43"/>
    </w:p>
    <w:p>
      <w:pPr>
        <w:ind w:firstLine="560" w:firstLineChars="200"/>
        <w:rPr>
          <w:rFonts w:hint="default" w:ascii="Times New Roman" w:hAnsi="Times New Roman" w:eastAsia="仿宋_GB2312" w:cs="Times New Roman"/>
          <w:sz w:val="32"/>
          <w:szCs w:val="32"/>
          <w:highlight w:val="none"/>
        </w:rPr>
      </w:pPr>
      <w:r>
        <w:rPr>
          <w:rFonts w:hint="eastAsia" w:ascii="宋体" w:hAnsi="宋体" w:eastAsia="宋体" w:cs="宋体"/>
          <w:sz w:val="28"/>
          <w:szCs w:val="28"/>
          <w:highlight w:val="none"/>
          <w:lang w:val="en-US" w:eastAsia="zh-CN"/>
        </w:rPr>
        <w:t>总分</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en-US" w:eastAsia="zh-CN"/>
        </w:rPr>
        <w:t>分，自评得分</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en-US" w:eastAsia="zh-CN"/>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bookmarkStart w:id="44" w:name="_Toc27486"/>
      <w:r>
        <w:rPr>
          <w:rFonts w:hint="eastAsia" w:ascii="宋体" w:hAnsi="宋体" w:eastAsia="宋体" w:cs="宋体"/>
          <w:sz w:val="28"/>
          <w:szCs w:val="28"/>
          <w:lang w:val="en-US" w:eastAsia="zh-CN"/>
        </w:rPr>
        <w:t>预算管理方面已具有相应</w:t>
      </w:r>
      <w:bookmarkStart w:id="87" w:name="_GoBack"/>
      <w:bookmarkEnd w:id="87"/>
      <w:r>
        <w:rPr>
          <w:rFonts w:hint="eastAsia" w:ascii="宋体" w:hAnsi="宋体" w:eastAsia="宋体" w:cs="宋体"/>
          <w:sz w:val="28"/>
          <w:szCs w:val="28"/>
          <w:lang w:val="en-US" w:eastAsia="zh-CN"/>
        </w:rPr>
        <w:t>的预算管理内控制度，包括收入与支出管理、往来资金结算管理、现金及银行存款管理、财务监督管理、政府采购管理、绩效管理等，预算管理制度合法、合规、完整；非税收入方面单位做到依法征收、应收尽收，按规定缴入国库或财政专户；预算总额全部纳入绩效管理预算。</w:t>
      </w:r>
    </w:p>
    <w:p>
      <w:pPr>
        <w:pStyle w:val="5"/>
        <w:bidi w:val="0"/>
        <w:rPr>
          <w:rFonts w:hint="default"/>
          <w:lang w:val="en-US" w:eastAsia="zh-CN"/>
        </w:rPr>
      </w:pPr>
      <w:bookmarkStart w:id="45" w:name="_Toc29009"/>
      <w:r>
        <w:rPr>
          <w:rFonts w:hint="eastAsia"/>
          <w:lang w:val="en-US" w:eastAsia="zh-CN"/>
        </w:rPr>
        <w:t>3.2.3</w:t>
      </w:r>
      <w:bookmarkEnd w:id="44"/>
      <w:r>
        <w:rPr>
          <w:rFonts w:hint="eastAsia"/>
          <w:lang w:val="en-US" w:eastAsia="zh-CN"/>
        </w:rPr>
        <w:t>资产管理</w:t>
      </w:r>
      <w:bookmarkEnd w:id="45"/>
    </w:p>
    <w:p>
      <w:pPr>
        <w:ind w:firstLine="560" w:firstLineChars="200"/>
        <w:rPr>
          <w:rFonts w:hint="eastAsia"/>
          <w:highlight w:val="none"/>
        </w:rPr>
      </w:pPr>
      <w:r>
        <w:rPr>
          <w:rFonts w:hint="eastAsia" w:ascii="宋体" w:hAnsi="宋体" w:eastAsia="宋体" w:cs="宋体"/>
          <w:sz w:val="28"/>
          <w:szCs w:val="28"/>
          <w:highlight w:val="none"/>
          <w:lang w:val="en-US" w:eastAsia="zh-CN"/>
        </w:rPr>
        <w:t>总分</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分，自评得分</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0"/>
          <w:sz w:val="28"/>
          <w:szCs w:val="28"/>
        </w:rPr>
      </w:pPr>
      <w:r>
        <w:rPr>
          <w:rFonts w:hint="eastAsia" w:ascii="宋体" w:hAnsi="宋体" w:eastAsia="宋体" w:cs="宋体"/>
          <w:sz w:val="28"/>
          <w:szCs w:val="28"/>
        </w:rPr>
        <w:t>重视日常资产管理工作，结合资产情况进行细化和规范管理。设立专职资产管理员，具体负责国有资产的日常管理。经常与财务系统核对，实物、卡片管理情况，做到帐帐相符，帐实相符。同时，定期进行资产清理，优化资产结构。对已超过使用年限或已无法修理继续使用的固定资产，及时向领导汇报，确认报废后，按照规定办理相关申报审批手续，进行实物报废处置，最大限度盘活存量资产，提高资产使用效率，为今后科学合理地配制资产打下了良好的基础。</w:t>
      </w:r>
    </w:p>
    <w:p>
      <w:pPr>
        <w:pStyle w:val="5"/>
        <w:bidi w:val="0"/>
        <w:rPr>
          <w:rFonts w:hint="eastAsia"/>
          <w:lang w:val="en-US" w:eastAsia="zh-CN"/>
        </w:rPr>
      </w:pPr>
      <w:bookmarkStart w:id="46" w:name="_Toc30281"/>
      <w:r>
        <w:rPr>
          <w:rFonts w:hint="eastAsia"/>
          <w:lang w:val="en-US" w:eastAsia="zh-CN"/>
        </w:rPr>
        <w:t>3.2.4项目管理</w:t>
      </w:r>
      <w:bookmarkEnd w:id="46"/>
    </w:p>
    <w:p>
      <w:pPr>
        <w:ind w:firstLine="560" w:firstLineChars="200"/>
        <w:rPr>
          <w:rFonts w:hint="eastAsia"/>
          <w:highlight w:val="none"/>
          <w:lang w:val="en-US" w:eastAsia="zh-CN"/>
        </w:rPr>
      </w:pPr>
      <w:r>
        <w:rPr>
          <w:rFonts w:hint="eastAsia" w:ascii="宋体" w:hAnsi="宋体" w:eastAsia="宋体" w:cs="宋体"/>
          <w:sz w:val="28"/>
          <w:szCs w:val="28"/>
          <w:highlight w:val="none"/>
          <w:lang w:val="en-US" w:eastAsia="zh-CN"/>
        </w:rPr>
        <w:t>总分</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分，自评得分</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分。</w:t>
      </w:r>
    </w:p>
    <w:p>
      <w:pPr>
        <w:ind w:firstLine="560" w:firstLineChars="200"/>
        <w:rPr>
          <w:rFonts w:hint="eastAsia"/>
          <w:lang w:val="en-US" w:eastAsia="zh-CN"/>
        </w:rPr>
      </w:pPr>
      <w:r>
        <w:rPr>
          <w:rFonts w:hint="eastAsia" w:ascii="宋体" w:hAnsi="宋体" w:eastAsia="宋体" w:cs="宋体"/>
          <w:sz w:val="28"/>
          <w:szCs w:val="28"/>
          <w:lang w:val="en-US" w:eastAsia="zh-CN"/>
        </w:rPr>
        <w:t>本单位项目包含城乡建设规划、发展保障、安全生产、应急维稳项目、城市基础设施建设项目、人防工程建设维护项目、住建行业管理监督运行、污水处理项目、办公设备政府采购，项目经费按照要求规范严格地执行，项目制度合法合规。</w:t>
      </w:r>
    </w:p>
    <w:p>
      <w:pPr>
        <w:pStyle w:val="5"/>
        <w:bidi w:val="0"/>
        <w:rPr>
          <w:rFonts w:hint="eastAsia"/>
          <w:lang w:val="en-US" w:eastAsia="zh-CN"/>
        </w:rPr>
      </w:pPr>
      <w:bookmarkStart w:id="47" w:name="_Toc2345"/>
      <w:r>
        <w:rPr>
          <w:rFonts w:hint="eastAsia"/>
          <w:lang w:val="en-US" w:eastAsia="zh-CN"/>
        </w:rPr>
        <w:t>3.2.5人员管理</w:t>
      </w:r>
      <w:bookmarkEnd w:id="47"/>
    </w:p>
    <w:p>
      <w:pPr>
        <w:ind w:firstLine="560" w:firstLineChars="200"/>
        <w:rPr>
          <w:rFonts w:hint="eastAsia" w:ascii="宋体" w:hAnsi="宋体" w:cs="宋体"/>
          <w:highlight w:val="none"/>
        </w:rPr>
      </w:pPr>
      <w:r>
        <w:rPr>
          <w:rFonts w:hint="eastAsia" w:ascii="宋体" w:hAnsi="宋体" w:eastAsia="宋体" w:cs="宋体"/>
          <w:sz w:val="28"/>
          <w:szCs w:val="28"/>
          <w:highlight w:val="none"/>
          <w:lang w:val="en-US" w:eastAsia="zh-CN"/>
        </w:rPr>
        <w:t>总分</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分，自评得分</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分。</w:t>
      </w:r>
    </w:p>
    <w:p>
      <w:pPr>
        <w:ind w:firstLine="560"/>
        <w:rPr>
          <w:rFonts w:hint="default"/>
          <w:lang w:val="en-US" w:eastAsia="zh-CN"/>
        </w:rPr>
      </w:pPr>
      <w:r>
        <w:rPr>
          <w:rFonts w:hint="eastAsia" w:ascii="宋体" w:hAnsi="宋体" w:cs="宋体"/>
        </w:rPr>
        <w:t>据相关文件合理控制财政供养人员情况，不断健全人事管理制度；同时根据单位工作需要对工作人员组织培训，提升员工工作能力。培训后应积极测试培训效果，反映培训成效，更好的更加真实的反馈培训的有效性。</w:t>
      </w:r>
    </w:p>
    <w:p>
      <w:pPr>
        <w:pStyle w:val="5"/>
        <w:bidi w:val="0"/>
        <w:rPr>
          <w:rFonts w:hint="eastAsia"/>
          <w:lang w:val="en-US" w:eastAsia="zh-CN"/>
        </w:rPr>
      </w:pPr>
      <w:bookmarkStart w:id="48" w:name="_Toc26274"/>
      <w:r>
        <w:rPr>
          <w:rFonts w:hint="eastAsia"/>
          <w:lang w:val="en-US" w:eastAsia="zh-CN"/>
        </w:rPr>
        <w:t>3.2.6机构建设</w:t>
      </w:r>
      <w:bookmarkEnd w:id="48"/>
    </w:p>
    <w:p>
      <w:pPr>
        <w:ind w:firstLine="560" w:firstLineChars="200"/>
        <w:rPr>
          <w:rFonts w:hint="eastAsia"/>
          <w:highlight w:val="none"/>
          <w:lang w:val="en-US" w:eastAsia="zh-CN"/>
        </w:rPr>
      </w:pPr>
      <w:r>
        <w:rPr>
          <w:rFonts w:hint="eastAsia" w:ascii="宋体" w:hAnsi="宋体" w:eastAsia="宋体" w:cs="宋体"/>
          <w:sz w:val="28"/>
          <w:szCs w:val="28"/>
          <w:highlight w:val="none"/>
          <w:lang w:val="en-US" w:eastAsia="zh-CN"/>
        </w:rPr>
        <w:t>总分</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分，自评得分</w:t>
      </w:r>
      <w:r>
        <w:rPr>
          <w:rFonts w:hint="eastAsia" w:ascii="宋体" w:hAnsi="宋体" w:cs="宋体"/>
          <w:sz w:val="28"/>
          <w:szCs w:val="28"/>
          <w:highlight w:val="none"/>
          <w:lang w:val="en-US" w:eastAsia="zh-CN"/>
        </w:rPr>
        <w:t>2.5</w:t>
      </w:r>
      <w:r>
        <w:rPr>
          <w:rFonts w:hint="eastAsia" w:ascii="宋体" w:hAnsi="宋体" w:eastAsia="宋体" w:cs="宋体"/>
          <w:sz w:val="28"/>
          <w:szCs w:val="28"/>
          <w:highlight w:val="none"/>
          <w:lang w:val="en-US" w:eastAsia="zh-CN"/>
        </w:rPr>
        <w:t>分。</w:t>
      </w:r>
    </w:p>
    <w:p>
      <w:pPr>
        <w:ind w:firstLine="560"/>
        <w:rPr>
          <w:rFonts w:hint="default"/>
          <w:lang w:val="en-US" w:eastAsia="zh-CN"/>
        </w:rPr>
      </w:pPr>
      <w:r>
        <w:rPr>
          <w:rFonts w:hint="eastAsia"/>
        </w:rPr>
        <w:t>单位不断健全落实工作风险控制制度将违纪违法发生数降至为0，严格落实中央规定精神及其实施细则，执行各项财务制度，合理编制预算，及时做好预决算省级平台公示及各种常规性报表。</w:t>
      </w:r>
    </w:p>
    <w:p>
      <w:pPr>
        <w:pStyle w:val="4"/>
        <w:ind w:firstLine="643"/>
        <w:rPr>
          <w:rFonts w:hint="eastAsia"/>
        </w:rPr>
      </w:pPr>
      <w:bookmarkStart w:id="49" w:name="_Toc1811"/>
      <w:bookmarkStart w:id="50" w:name="_Toc22943"/>
      <w:bookmarkStart w:id="51" w:name="_Toc16108"/>
      <w:r>
        <w:rPr>
          <w:rFonts w:hint="eastAsia"/>
        </w:rPr>
        <w:t>3.</w:t>
      </w:r>
      <w:r>
        <w:rPr>
          <w:rFonts w:hint="eastAsia"/>
          <w:lang w:val="en-US" w:eastAsia="zh-CN"/>
        </w:rPr>
        <w:t>3</w:t>
      </w:r>
      <w:r>
        <w:rPr>
          <w:rFonts w:hint="eastAsia"/>
        </w:rPr>
        <w:t>履职</w:t>
      </w:r>
      <w:bookmarkEnd w:id="35"/>
      <w:bookmarkEnd w:id="49"/>
      <w:bookmarkEnd w:id="50"/>
      <w:bookmarkEnd w:id="51"/>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总分30分，自评得分</w:t>
      </w:r>
      <w:r>
        <w:rPr>
          <w:rFonts w:hint="eastAsia" w:ascii="宋体" w:hAnsi="宋体" w:cs="宋体"/>
          <w:sz w:val="28"/>
          <w:szCs w:val="28"/>
          <w:highlight w:val="none"/>
          <w:lang w:val="en-US" w:eastAsia="zh-CN"/>
        </w:rPr>
        <w:t>23</w:t>
      </w:r>
      <w:r>
        <w:rPr>
          <w:rFonts w:hint="eastAsia" w:ascii="宋体" w:hAnsi="宋体" w:eastAsia="宋体" w:cs="宋体"/>
          <w:sz w:val="28"/>
          <w:szCs w:val="28"/>
          <w:highlight w:val="none"/>
          <w:lang w:val="en-US" w:eastAsia="zh-CN"/>
        </w:rPr>
        <w:t>分。</w:t>
      </w:r>
    </w:p>
    <w:p>
      <w:pPr>
        <w:pStyle w:val="2"/>
        <w:ind w:firstLine="560" w:firstLineChars="200"/>
        <w:rPr>
          <w:rFonts w:hint="eastAsia" w:eastAsia="宋体" w:asciiTheme="minorHAnsi" w:hAnsiTheme="minorHAnsi" w:cstheme="minorBidi"/>
          <w:color w:val="auto"/>
          <w:kern w:val="2"/>
          <w:sz w:val="28"/>
          <w:szCs w:val="24"/>
          <w:lang w:val="en-US" w:eastAsia="zh-CN" w:bidi="ar-SA"/>
        </w:rPr>
      </w:pPr>
      <w:r>
        <w:rPr>
          <w:rFonts w:hint="eastAsia" w:eastAsia="宋体" w:asciiTheme="minorHAnsi" w:hAnsiTheme="minorHAnsi" w:cstheme="minorBidi"/>
          <w:color w:val="auto"/>
          <w:kern w:val="2"/>
          <w:sz w:val="28"/>
          <w:szCs w:val="24"/>
          <w:lang w:val="en-US" w:eastAsia="zh-CN" w:bidi="ar-SA"/>
        </w:rPr>
        <w:t>2022年以来，市住建局深入贯彻中央、省市相关决策部署，全力克服疫情影响，加快实施城市更新行动，深入谋划推进沿海特色风貌塑造，切实推动城乡一体化高质量发展，部分达成并具有一定效果。</w:t>
      </w:r>
    </w:p>
    <w:p>
      <w:pPr>
        <w:rPr>
          <w:rFonts w:hint="eastAsia" w:eastAsia="宋体" w:asciiTheme="minorHAnsi" w:hAnsiTheme="minorHAnsi" w:cstheme="minorBidi"/>
          <w:color w:val="auto"/>
          <w:kern w:val="2"/>
          <w:sz w:val="28"/>
          <w:szCs w:val="24"/>
          <w:lang w:val="en-US" w:eastAsia="zh-CN" w:bidi="ar-SA"/>
        </w:rPr>
      </w:pPr>
      <w:r>
        <w:rPr>
          <w:rFonts w:hint="eastAsia" w:eastAsia="宋体"/>
          <w:b/>
          <w:bCs/>
          <w:highlight w:val="none"/>
          <w:lang w:eastAsia="zh-CN"/>
        </w:rPr>
        <w:t>城市基础设施建设</w:t>
      </w:r>
      <w:r>
        <w:rPr>
          <w:rFonts w:hint="eastAsia"/>
          <w:b/>
          <w:bCs/>
          <w:highlight w:val="none"/>
          <w:lang w:eastAsia="zh-CN"/>
        </w:rPr>
        <w:t>。</w:t>
      </w:r>
      <w:r>
        <w:rPr>
          <w:rFonts w:hint="eastAsia" w:eastAsia="宋体" w:asciiTheme="minorHAnsi" w:hAnsiTheme="minorHAnsi" w:cstheme="minorBidi"/>
          <w:color w:val="auto"/>
          <w:kern w:val="2"/>
          <w:sz w:val="28"/>
          <w:szCs w:val="24"/>
          <w:lang w:val="en-US" w:eastAsia="zh-CN" w:bidi="ar-SA"/>
        </w:rPr>
        <w:t>新建城市道路约35公里，竣工通车21条。徐新路快速路改造工程、机场大道等13个重点快速路建设项目稳步推进。新增城市公共停车泊位3800个，超额完成年度任务。新建城镇污水管网302公里，主城区污水管网空白区实现基本“清零”。</w:t>
      </w:r>
    </w:p>
    <w:p>
      <w:pPr>
        <w:rPr>
          <w:rFonts w:hint="eastAsia" w:eastAsia="宋体" w:asciiTheme="minorHAnsi" w:hAnsiTheme="minorHAnsi" w:cstheme="minorBidi"/>
          <w:color w:val="auto"/>
          <w:kern w:val="2"/>
          <w:sz w:val="28"/>
          <w:szCs w:val="24"/>
          <w:lang w:val="en-US" w:eastAsia="zh-CN" w:bidi="ar-SA"/>
        </w:rPr>
      </w:pPr>
      <w:r>
        <w:rPr>
          <w:rFonts w:hint="eastAsia" w:eastAsia="宋体"/>
          <w:b/>
          <w:bCs/>
          <w:highlight w:val="none"/>
          <w:lang w:eastAsia="zh-CN"/>
        </w:rPr>
        <w:t>污水处理</w:t>
      </w:r>
      <w:r>
        <w:rPr>
          <w:rFonts w:hint="eastAsia"/>
          <w:b/>
          <w:bCs/>
          <w:highlight w:val="none"/>
          <w:lang w:val="en-US" w:eastAsia="zh-CN"/>
        </w:rPr>
        <w:t>：</w:t>
      </w:r>
      <w:r>
        <w:rPr>
          <w:rFonts w:hint="eastAsia" w:eastAsia="宋体" w:asciiTheme="minorHAnsi" w:hAnsiTheme="minorHAnsi" w:cstheme="minorBidi"/>
          <w:color w:val="auto"/>
          <w:kern w:val="2"/>
          <w:sz w:val="28"/>
          <w:szCs w:val="24"/>
          <w:lang w:val="en-US" w:eastAsia="zh-CN" w:bidi="ar-SA"/>
        </w:rPr>
        <w:t>实施大浦三期等5座污水处理厂新扩建工程，新增污水处理能力9万吨/日，城市污水集中处理率达到省内中游。建成20个污水提质增效达标区，年底城市建成区40%以上面积建成提质增效达标区。建成区海绵城市达标率26%。</w:t>
      </w:r>
    </w:p>
    <w:p>
      <w:pPr>
        <w:rPr>
          <w:rFonts w:hint="eastAsia" w:eastAsia="宋体" w:asciiTheme="minorHAnsi" w:hAnsiTheme="minorHAnsi" w:cstheme="minorBidi"/>
          <w:color w:val="auto"/>
          <w:kern w:val="2"/>
          <w:sz w:val="28"/>
          <w:szCs w:val="24"/>
          <w:lang w:val="en-US" w:eastAsia="zh-CN" w:bidi="ar-SA"/>
        </w:rPr>
      </w:pPr>
      <w:r>
        <w:rPr>
          <w:rFonts w:hint="eastAsia" w:eastAsia="宋体"/>
          <w:b/>
          <w:bCs/>
          <w:highlight w:val="none"/>
          <w:lang w:eastAsia="zh-CN"/>
        </w:rPr>
        <w:t>城市建设、规划、发展保障：</w:t>
      </w:r>
      <w:r>
        <w:rPr>
          <w:rFonts w:hint="eastAsia" w:eastAsia="宋体" w:asciiTheme="minorHAnsi" w:hAnsiTheme="minorHAnsi" w:cstheme="minorBidi"/>
          <w:color w:val="auto"/>
          <w:kern w:val="2"/>
          <w:sz w:val="28"/>
          <w:szCs w:val="24"/>
          <w:lang w:val="en-US" w:eastAsia="zh-CN" w:bidi="ar-SA"/>
        </w:rPr>
        <w:t>创建省级生态园林城市通过省考核组现场验收，全市新增绿地240公顷，市区建成区绿地率达38.6%，绿化覆盖率达到42.6%，人均公园绿地达到15.6平方米/人。建成大中型公园5个，园博园主体建成。在全省率先启动编制《口袋公园建设指南》，建成“一园一景一特色”口袋公园59个。建成绿廊35公顷、绿道9.8公里。强化沿海特色风貌塑造，西连岛滨海风貌塑造二期等3个项目入选省级特色风貌塑造项目，海州湾慢行海滨绿道等3个项目建成完工。全长126公里海滨大道绿化美化和景观提升工程稳步实施。</w:t>
      </w:r>
    </w:p>
    <w:p>
      <w:pPr>
        <w:rPr>
          <w:rFonts w:hint="default"/>
          <w:lang w:val="en-US" w:eastAsia="zh-CN"/>
        </w:rPr>
      </w:pPr>
      <w:r>
        <w:rPr>
          <w:rFonts w:hint="eastAsia" w:eastAsia="宋体" w:asciiTheme="minorHAnsi" w:hAnsiTheme="minorHAnsi" w:cstheme="minorBidi"/>
          <w:color w:val="auto"/>
          <w:kern w:val="2"/>
          <w:sz w:val="28"/>
          <w:szCs w:val="24"/>
          <w:lang w:val="en-US" w:eastAsia="zh-CN" w:bidi="ar-SA"/>
        </w:rPr>
        <w:t>老旧小区改造142个，改造整体数量位居全省第一方阵。开展加装电梯139部。东方瑞园、新海花园2个小区被中央文明委、住建部评为“美好家园”全国100个创建典型案例（全省仅4个）。棚改新开工5704套、基本建成7149套，分别完成年度目标任务的121.36%、166.26%，基本建成位列省内第3名。全市建成保障性租赁住房1746套，解决低收入家庭住房困难1241户，超额完成年度目标。</w:t>
      </w:r>
      <w:r>
        <w:rPr>
          <w:rFonts w:hint="eastAsia" w:eastAsia="宋体"/>
          <w:b/>
          <w:bCs/>
          <w:highlight w:val="none"/>
          <w:lang w:val="en-US" w:eastAsia="zh-CN"/>
        </w:rPr>
        <w:t xml:space="preserve"> </w:t>
      </w:r>
    </w:p>
    <w:p>
      <w:pPr>
        <w:rPr>
          <w:rFonts w:hint="eastAsia" w:eastAsia="宋体" w:asciiTheme="minorHAnsi" w:hAnsiTheme="minorHAnsi" w:cstheme="minorBidi"/>
          <w:color w:val="auto"/>
          <w:kern w:val="2"/>
          <w:sz w:val="28"/>
          <w:szCs w:val="24"/>
          <w:lang w:val="en-US" w:eastAsia="zh-CN" w:bidi="ar-SA"/>
        </w:rPr>
      </w:pPr>
      <w:r>
        <w:rPr>
          <w:rFonts w:hint="eastAsia" w:eastAsia="宋体"/>
          <w:b/>
          <w:bCs/>
          <w:highlight w:val="none"/>
          <w:lang w:eastAsia="zh-CN"/>
        </w:rPr>
        <w:t>办公设备信息化建设：</w:t>
      </w:r>
      <w:r>
        <w:rPr>
          <w:rFonts w:hint="eastAsia" w:eastAsia="宋体" w:asciiTheme="minorHAnsi" w:hAnsiTheme="minorHAnsi" w:cstheme="minorBidi"/>
          <w:color w:val="auto"/>
          <w:kern w:val="2"/>
          <w:sz w:val="28"/>
          <w:szCs w:val="24"/>
          <w:lang w:val="en-US" w:eastAsia="zh-CN" w:bidi="ar-SA"/>
        </w:rPr>
        <w:t>2022年实际购置电脑10台，笔记本电脑1台，打印机5台，一体机1台。复印印刷费用19.88万元、委托第三方技术机构开展建筑工地安全咨询服务53.8万元。</w:t>
      </w:r>
    </w:p>
    <w:p>
      <w:pPr>
        <w:rPr>
          <w:rFonts w:hint="default" w:eastAsia="宋体" w:asciiTheme="minorHAnsi" w:hAnsiTheme="minorHAnsi" w:cstheme="minorBidi"/>
          <w:color w:val="auto"/>
          <w:kern w:val="2"/>
          <w:sz w:val="28"/>
          <w:szCs w:val="24"/>
          <w:lang w:val="en-US" w:eastAsia="zh-CN" w:bidi="ar-SA"/>
        </w:rPr>
      </w:pPr>
      <w:r>
        <w:rPr>
          <w:rFonts w:hint="eastAsia" w:eastAsia="宋体" w:asciiTheme="minorHAnsi" w:hAnsiTheme="minorHAnsi" w:cstheme="minorBidi"/>
          <w:color w:val="auto"/>
          <w:kern w:val="2"/>
          <w:sz w:val="28"/>
          <w:szCs w:val="24"/>
          <w:lang w:val="en-US" w:eastAsia="zh-CN" w:bidi="ar-SA"/>
        </w:rPr>
        <w:t>由于疫情原因，该项目基本上处于暂停状态，预算偏差较大，未达成预期目标，扣2分。</w:t>
      </w:r>
    </w:p>
    <w:p>
      <w:pPr>
        <w:rPr>
          <w:rFonts w:hint="default" w:eastAsia="宋体" w:asciiTheme="minorHAnsi" w:hAnsiTheme="minorHAnsi" w:cstheme="minorBidi"/>
          <w:color w:val="auto"/>
          <w:kern w:val="2"/>
          <w:sz w:val="28"/>
          <w:szCs w:val="24"/>
          <w:lang w:val="en-US" w:eastAsia="zh-CN" w:bidi="ar-SA"/>
        </w:rPr>
      </w:pPr>
      <w:r>
        <w:rPr>
          <w:rFonts w:hint="eastAsia"/>
          <w:b/>
          <w:bCs/>
          <w:highlight w:val="none"/>
        </w:rPr>
        <w:t>安全生产及重大事项保障</w:t>
      </w:r>
      <w:r>
        <w:rPr>
          <w:rFonts w:hint="eastAsia"/>
          <w:b/>
          <w:bCs/>
          <w:highlight w:val="none"/>
          <w:lang w:eastAsia="zh-CN"/>
        </w:rPr>
        <w:t>：</w:t>
      </w:r>
      <w:r>
        <w:rPr>
          <w:rFonts w:hint="eastAsia" w:eastAsia="宋体" w:asciiTheme="minorHAnsi" w:hAnsiTheme="minorHAnsi" w:cstheme="minorBidi"/>
          <w:color w:val="auto"/>
          <w:kern w:val="2"/>
          <w:sz w:val="28"/>
          <w:szCs w:val="24"/>
          <w:lang w:val="en-US" w:eastAsia="zh-CN" w:bidi="ar-SA"/>
        </w:rPr>
        <w:t>保障园博园插花、盆景送展服务，优化地震应急会商系统，完成局机关信息化系统等级保护测评。</w:t>
      </w:r>
    </w:p>
    <w:p>
      <w:pPr>
        <w:spacing w:line="560" w:lineRule="exact"/>
        <w:ind w:firstLine="560" w:firstLineChars="200"/>
        <w:rPr>
          <w:rFonts w:hint="eastAsia"/>
          <w:lang w:eastAsia="zh-CN"/>
        </w:rPr>
      </w:pPr>
      <w:r>
        <w:rPr>
          <w:rFonts w:hint="eastAsia" w:eastAsia="宋体" w:asciiTheme="minorHAnsi" w:hAnsiTheme="minorHAnsi" w:cstheme="minorBidi"/>
          <w:color w:val="auto"/>
          <w:kern w:val="2"/>
          <w:sz w:val="28"/>
          <w:szCs w:val="24"/>
          <w:lang w:val="en-US" w:eastAsia="zh-CN" w:bidi="ar-SA"/>
        </w:rPr>
        <w:t>全面压实建筑施工、城镇燃气、自建房安全监管，排查自建房197.7万栋，全市D级危房全部清人、停用、封房。全市自然灾害综合风险普查及地震易发区房屋设施加固信息采集工程13849项，位居全省前列。</w:t>
      </w:r>
    </w:p>
    <w:p>
      <w:pPr>
        <w:rPr>
          <w:rFonts w:hint="eastAsia" w:eastAsia="宋体" w:asciiTheme="minorHAnsi" w:hAnsiTheme="minorHAnsi" w:cstheme="minorBidi"/>
          <w:color w:val="auto"/>
          <w:kern w:val="2"/>
          <w:sz w:val="28"/>
          <w:szCs w:val="24"/>
          <w:lang w:val="en-US" w:eastAsia="zh-CN" w:bidi="ar-SA"/>
        </w:rPr>
      </w:pPr>
      <w:r>
        <w:rPr>
          <w:rFonts w:hint="eastAsia" w:eastAsia="宋体"/>
          <w:b/>
          <w:bCs/>
          <w:highlight w:val="none"/>
          <w:lang w:eastAsia="zh-CN"/>
        </w:rPr>
        <w:t>住建行业发展保障</w:t>
      </w:r>
      <w:r>
        <w:rPr>
          <w:rFonts w:hint="eastAsia"/>
          <w:b/>
          <w:bCs/>
          <w:highlight w:val="none"/>
          <w:lang w:eastAsia="zh-CN"/>
        </w:rPr>
        <w:t>：</w:t>
      </w:r>
      <w:r>
        <w:rPr>
          <w:rFonts w:hint="eastAsia" w:eastAsia="宋体" w:asciiTheme="minorHAnsi" w:hAnsiTheme="minorHAnsi" w:cstheme="minorBidi"/>
          <w:color w:val="auto"/>
          <w:kern w:val="2"/>
          <w:sz w:val="28"/>
          <w:szCs w:val="24"/>
          <w:lang w:val="en-US" w:eastAsia="zh-CN" w:bidi="ar-SA"/>
        </w:rPr>
        <w:t>坚决贯彻落实“疫情要防住、经济要稳住、发展要安全”的重大部署，全面贯彻国家15条硬措施、省50项检查重点和市100个检查要点，落实落细施工、燃气、既有房屋等重点领域安全管控，争创市级玉女峰杯优质工程奖75项以上，省级优质工程奖扬子杯10项。</w:t>
      </w:r>
    </w:p>
    <w:p>
      <w:pPr>
        <w:pStyle w:val="4"/>
        <w:ind w:firstLine="643"/>
        <w:rPr>
          <w:rFonts w:hint="eastAsia"/>
          <w:lang w:val="en-US" w:eastAsia="zh-CN"/>
        </w:rPr>
      </w:pPr>
      <w:bookmarkStart w:id="52" w:name="_Toc1294"/>
      <w:bookmarkStart w:id="53" w:name="_Toc30035"/>
      <w:bookmarkStart w:id="54" w:name="_Toc13662"/>
      <w:r>
        <w:rPr>
          <w:rFonts w:hint="eastAsia"/>
        </w:rPr>
        <w:t>3.</w:t>
      </w:r>
      <w:r>
        <w:rPr>
          <w:rFonts w:hint="eastAsia"/>
          <w:lang w:val="en-US" w:eastAsia="zh-CN"/>
        </w:rPr>
        <w:t>4效益</w:t>
      </w:r>
      <w:bookmarkEnd w:id="52"/>
      <w:bookmarkEnd w:id="53"/>
      <w:bookmarkEnd w:id="54"/>
    </w:p>
    <w:p>
      <w:pPr>
        <w:rPr>
          <w:rFonts w:hint="default"/>
          <w:lang w:val="en-US" w:eastAsia="zh-CN"/>
        </w:rPr>
      </w:pPr>
      <w:r>
        <w:rPr>
          <w:rFonts w:hint="eastAsia"/>
          <w:lang w:val="en-US" w:eastAsia="zh-CN"/>
        </w:rPr>
        <w:t>总分28分，得分28分。</w:t>
      </w:r>
    </w:p>
    <w:p>
      <w:pPr>
        <w:rPr>
          <w:rFonts w:hint="eastAsia" w:eastAsia="宋体" w:asciiTheme="minorHAnsi" w:hAnsiTheme="minorHAnsi" w:cstheme="minorBidi"/>
          <w:color w:val="auto"/>
          <w:kern w:val="2"/>
          <w:sz w:val="28"/>
          <w:szCs w:val="24"/>
          <w:lang w:val="en-US" w:eastAsia="zh-CN" w:bidi="ar-SA"/>
        </w:rPr>
      </w:pPr>
      <w:r>
        <w:rPr>
          <w:rFonts w:hint="eastAsia" w:eastAsia="宋体" w:asciiTheme="minorHAnsi" w:hAnsiTheme="minorHAnsi" w:cstheme="minorBidi"/>
          <w:color w:val="auto"/>
          <w:kern w:val="2"/>
          <w:sz w:val="28"/>
          <w:szCs w:val="24"/>
          <w:lang w:val="en-US" w:eastAsia="zh-CN" w:bidi="ar-SA"/>
        </w:rPr>
        <w:t>经济效益</w:t>
      </w:r>
      <w:r>
        <w:rPr>
          <w:rFonts w:hint="eastAsia" w:cstheme="minorBidi"/>
          <w:color w:val="auto"/>
          <w:kern w:val="2"/>
          <w:sz w:val="28"/>
          <w:szCs w:val="24"/>
          <w:lang w:val="en-US" w:eastAsia="zh-CN" w:bidi="ar-SA"/>
        </w:rPr>
        <w:t>：</w:t>
      </w:r>
      <w:r>
        <w:rPr>
          <w:rFonts w:hint="eastAsia" w:eastAsia="宋体" w:asciiTheme="minorHAnsi" w:hAnsiTheme="minorHAnsi" w:cstheme="minorBidi"/>
          <w:color w:val="auto"/>
          <w:kern w:val="2"/>
          <w:sz w:val="28"/>
          <w:szCs w:val="24"/>
          <w:lang w:val="en-US" w:eastAsia="zh-CN" w:bidi="ar-SA"/>
        </w:rPr>
        <w:t>加快推进建筑产业结构调整和转型升级，加大建筑企业纾困解难力度</w:t>
      </w:r>
      <w:r>
        <w:rPr>
          <w:rFonts w:hint="eastAsia" w:cstheme="minorBidi"/>
          <w:color w:val="auto"/>
          <w:kern w:val="2"/>
          <w:sz w:val="28"/>
          <w:szCs w:val="24"/>
          <w:lang w:val="en-US" w:eastAsia="zh-CN" w:bidi="ar-SA"/>
        </w:rPr>
        <w:t>。</w:t>
      </w:r>
    </w:p>
    <w:p>
      <w:pPr>
        <w:rPr>
          <w:rFonts w:hint="eastAsia" w:eastAsia="宋体" w:asciiTheme="minorHAnsi" w:hAnsiTheme="minorHAnsi" w:cstheme="minorBidi"/>
          <w:color w:val="auto"/>
          <w:kern w:val="2"/>
          <w:sz w:val="28"/>
          <w:szCs w:val="24"/>
          <w:lang w:val="en-US" w:eastAsia="zh-CN" w:bidi="ar-SA"/>
        </w:rPr>
      </w:pPr>
      <w:r>
        <w:rPr>
          <w:rFonts w:hint="eastAsia" w:eastAsia="宋体" w:asciiTheme="minorHAnsi" w:hAnsiTheme="minorHAnsi" w:cstheme="minorBidi"/>
          <w:color w:val="auto"/>
          <w:kern w:val="2"/>
          <w:sz w:val="28"/>
          <w:szCs w:val="24"/>
          <w:lang w:val="en-US" w:eastAsia="zh-CN" w:bidi="ar-SA"/>
        </w:rPr>
        <w:t>社会效益</w:t>
      </w:r>
      <w:r>
        <w:rPr>
          <w:rFonts w:hint="eastAsia" w:cstheme="minorBidi"/>
          <w:color w:val="auto"/>
          <w:kern w:val="2"/>
          <w:sz w:val="28"/>
          <w:szCs w:val="24"/>
          <w:lang w:val="en-US" w:eastAsia="zh-CN" w:bidi="ar-SA"/>
        </w:rPr>
        <w:t>：</w:t>
      </w:r>
      <w:r>
        <w:rPr>
          <w:rFonts w:hint="eastAsia" w:eastAsia="宋体" w:asciiTheme="minorHAnsi" w:hAnsiTheme="minorHAnsi" w:cstheme="minorBidi"/>
          <w:color w:val="auto"/>
          <w:kern w:val="2"/>
          <w:sz w:val="28"/>
          <w:szCs w:val="24"/>
          <w:lang w:val="en-US" w:eastAsia="zh-CN" w:bidi="ar-SA"/>
        </w:rPr>
        <w:t>强化住房安居保障提升镇村人居环境。通过实施老旧住区宜居改善、低效产业用地活力提升、历史文化保护传承等工程，打造一批体现连云港特色、代表连云港形象、省内起到示范效应的城市更新项目，切实改善人居环境和城市面貌。</w:t>
      </w:r>
    </w:p>
    <w:p>
      <w:pPr>
        <w:rPr>
          <w:rFonts w:hint="eastAsia" w:eastAsia="宋体" w:asciiTheme="minorHAnsi" w:hAnsiTheme="minorHAnsi" w:cstheme="minorBidi"/>
          <w:color w:val="auto"/>
          <w:kern w:val="2"/>
          <w:sz w:val="28"/>
          <w:szCs w:val="24"/>
          <w:lang w:val="en-US" w:eastAsia="zh-CN" w:bidi="ar-SA"/>
        </w:rPr>
      </w:pPr>
      <w:r>
        <w:rPr>
          <w:rFonts w:hint="eastAsia" w:eastAsia="宋体" w:asciiTheme="minorHAnsi" w:hAnsiTheme="minorHAnsi" w:cstheme="minorBidi"/>
          <w:color w:val="auto"/>
          <w:kern w:val="2"/>
          <w:sz w:val="28"/>
          <w:szCs w:val="24"/>
          <w:lang w:val="en-US" w:eastAsia="zh-CN" w:bidi="ar-SA"/>
        </w:rPr>
        <w:t>生态效益</w:t>
      </w:r>
      <w:r>
        <w:rPr>
          <w:rFonts w:hint="eastAsia" w:cstheme="minorBidi"/>
          <w:color w:val="auto"/>
          <w:kern w:val="2"/>
          <w:sz w:val="28"/>
          <w:szCs w:val="24"/>
          <w:lang w:val="en-US" w:eastAsia="zh-CN" w:bidi="ar-SA"/>
        </w:rPr>
        <w:t>：</w:t>
      </w:r>
      <w:r>
        <w:rPr>
          <w:rFonts w:hint="eastAsia" w:eastAsia="宋体" w:asciiTheme="minorHAnsi" w:hAnsiTheme="minorHAnsi" w:cstheme="minorBidi"/>
          <w:color w:val="auto"/>
          <w:kern w:val="2"/>
          <w:sz w:val="28"/>
          <w:szCs w:val="24"/>
          <w:lang w:val="en-US" w:eastAsia="zh-CN" w:bidi="ar-SA"/>
        </w:rPr>
        <w:t>围绕生态园林城市建设，以“山海绿韵，生态宜居”为目标，持续推进我市滨海特色风貌项目载体打造，科学构建“山、海、城”相依，“水、绿、田”交融的城市绿地系统，全力塑造高品质城市绿色空间。</w:t>
      </w:r>
    </w:p>
    <w:p>
      <w:pPr>
        <w:rPr>
          <w:rFonts w:hint="default" w:eastAsia="宋体" w:asciiTheme="minorHAnsi" w:hAnsiTheme="minorHAnsi" w:cstheme="minorBidi"/>
          <w:color w:val="auto"/>
          <w:kern w:val="2"/>
          <w:sz w:val="28"/>
          <w:szCs w:val="24"/>
          <w:lang w:val="en-US" w:eastAsia="zh-CN" w:bidi="ar-SA"/>
        </w:rPr>
      </w:pPr>
      <w:r>
        <w:rPr>
          <w:rFonts w:hint="eastAsia" w:eastAsia="宋体" w:asciiTheme="minorHAnsi" w:hAnsiTheme="minorHAnsi" w:cstheme="minorBidi"/>
          <w:color w:val="auto"/>
          <w:kern w:val="2"/>
          <w:sz w:val="28"/>
          <w:szCs w:val="24"/>
          <w:lang w:val="en-US" w:eastAsia="zh-CN" w:bidi="ar-SA"/>
        </w:rPr>
        <w:t>可持续影响</w:t>
      </w:r>
      <w:r>
        <w:rPr>
          <w:rFonts w:hint="eastAsia" w:cstheme="minorBidi"/>
          <w:color w:val="auto"/>
          <w:kern w:val="2"/>
          <w:sz w:val="28"/>
          <w:szCs w:val="24"/>
          <w:lang w:val="en-US" w:eastAsia="zh-CN" w:bidi="ar-SA"/>
        </w:rPr>
        <w:t>：</w:t>
      </w:r>
      <w:r>
        <w:rPr>
          <w:rFonts w:hint="eastAsia" w:eastAsia="宋体" w:asciiTheme="minorHAnsi" w:hAnsiTheme="minorHAnsi" w:cstheme="minorBidi"/>
          <w:color w:val="auto"/>
          <w:kern w:val="2"/>
          <w:sz w:val="28"/>
          <w:szCs w:val="24"/>
          <w:lang w:val="en-US" w:eastAsia="zh-CN" w:bidi="ar-SA"/>
        </w:rPr>
        <w:t>积极推动建筑业可持续发展,提高工程建设项目审批的效率和质量</w:t>
      </w:r>
      <w:r>
        <w:rPr>
          <w:rFonts w:hint="eastAsia" w:cstheme="minorBidi"/>
          <w:color w:val="auto"/>
          <w:kern w:val="2"/>
          <w:sz w:val="28"/>
          <w:szCs w:val="24"/>
          <w:lang w:val="en-US" w:eastAsia="zh-CN" w:bidi="ar-SA"/>
        </w:rPr>
        <w:t>。</w:t>
      </w:r>
    </w:p>
    <w:p>
      <w:pPr>
        <w:pStyle w:val="4"/>
        <w:ind w:firstLine="643"/>
        <w:rPr>
          <w:rFonts w:hint="eastAsia"/>
          <w:lang w:val="en-US" w:eastAsia="zh-CN"/>
        </w:rPr>
      </w:pPr>
      <w:bookmarkStart w:id="55" w:name="_Toc6809"/>
      <w:bookmarkStart w:id="56" w:name="_Toc30058"/>
      <w:bookmarkStart w:id="57" w:name="_Toc16178"/>
      <w:r>
        <w:rPr>
          <w:rFonts w:hint="eastAsia"/>
        </w:rPr>
        <w:t>3.</w:t>
      </w:r>
      <w:r>
        <w:rPr>
          <w:rFonts w:hint="eastAsia"/>
          <w:lang w:val="en-US" w:eastAsia="zh-CN"/>
        </w:rPr>
        <w:t>5满意度</w:t>
      </w:r>
      <w:bookmarkEnd w:id="55"/>
      <w:bookmarkEnd w:id="56"/>
      <w:bookmarkEnd w:id="57"/>
    </w:p>
    <w:p>
      <w:pPr>
        <w:rPr>
          <w:rFonts w:hint="eastAsia" w:asciiTheme="minorEastAsia" w:hAnsiTheme="minorEastAsia" w:eastAsiaTheme="minorEastAsia" w:cstheme="minorEastAsia"/>
          <w:color w:val="auto"/>
          <w:kern w:val="2"/>
          <w:sz w:val="28"/>
          <w:szCs w:val="24"/>
          <w:lang w:val="en-US" w:eastAsia="zh-CN" w:bidi="ar-SA"/>
        </w:rPr>
      </w:pPr>
      <w:r>
        <w:rPr>
          <w:rFonts w:hint="eastAsia" w:asciiTheme="minorEastAsia" w:hAnsiTheme="minorEastAsia" w:eastAsiaTheme="minorEastAsia" w:cstheme="minorEastAsia"/>
          <w:color w:val="auto"/>
          <w:kern w:val="2"/>
          <w:sz w:val="28"/>
          <w:szCs w:val="24"/>
          <w:lang w:val="en-US" w:eastAsia="zh-CN" w:bidi="ar-SA"/>
        </w:rPr>
        <w:t>总分10分，得分10分。</w:t>
      </w:r>
    </w:p>
    <w:p>
      <w:pPr>
        <w:rPr>
          <w:rFonts w:hint="eastAsia" w:asciiTheme="minorEastAsia" w:hAnsiTheme="minorEastAsia" w:eastAsiaTheme="minorEastAsia" w:cstheme="minorEastAsia"/>
          <w:color w:val="auto"/>
          <w:kern w:val="2"/>
          <w:sz w:val="28"/>
          <w:szCs w:val="24"/>
          <w:lang w:val="en-US" w:eastAsia="zh-CN" w:bidi="ar-SA"/>
        </w:rPr>
      </w:pPr>
      <w:bookmarkStart w:id="58" w:name="_Toc19718"/>
      <w:r>
        <w:rPr>
          <w:rFonts w:hint="eastAsia" w:asciiTheme="minorEastAsia" w:hAnsiTheme="minorEastAsia" w:eastAsiaTheme="minorEastAsia" w:cstheme="minorEastAsia"/>
          <w:color w:val="auto"/>
          <w:kern w:val="2"/>
          <w:sz w:val="28"/>
          <w:szCs w:val="24"/>
          <w:lang w:val="en-US" w:eastAsia="zh-CN" w:bidi="ar-SA"/>
        </w:rPr>
        <w:t>受益企事业单位及群众满意度100%。</w:t>
      </w:r>
    </w:p>
    <w:p>
      <w:pPr>
        <w:pStyle w:val="3"/>
        <w:ind w:firstLine="643"/>
        <w:rPr>
          <w:bCs/>
          <w:szCs w:val="32"/>
        </w:rPr>
      </w:pPr>
      <w:bookmarkStart w:id="59" w:name="_Toc32283"/>
      <w:bookmarkStart w:id="60" w:name="_Toc13381"/>
      <w:bookmarkStart w:id="61" w:name="_Toc22771"/>
      <w:r>
        <w:rPr>
          <w:rFonts w:hint="eastAsia"/>
        </w:rPr>
        <w:t>4</w:t>
      </w:r>
      <w:r>
        <w:rPr>
          <w:rFonts w:hint="eastAsia"/>
          <w:lang w:val="en-US" w:eastAsia="zh-CN"/>
        </w:rPr>
        <w:t xml:space="preserve"> </w:t>
      </w:r>
      <w:r>
        <w:rPr>
          <w:rFonts w:hint="eastAsia"/>
        </w:rPr>
        <w:t>需要说明事项</w:t>
      </w:r>
      <w:bookmarkEnd w:id="58"/>
      <w:bookmarkEnd w:id="59"/>
      <w:bookmarkEnd w:id="60"/>
      <w:bookmarkEnd w:id="61"/>
    </w:p>
    <w:p>
      <w:pPr>
        <w:ind w:firstLine="560"/>
        <w:rPr>
          <w:b/>
          <w:bCs/>
          <w:szCs w:val="32"/>
        </w:rPr>
      </w:pPr>
      <w:r>
        <w:rPr>
          <w:rFonts w:hint="eastAsia"/>
        </w:rPr>
        <w:t>无需要说明事项。</w:t>
      </w:r>
    </w:p>
    <w:p>
      <w:pPr>
        <w:pStyle w:val="3"/>
        <w:ind w:firstLine="643"/>
        <w:rPr>
          <w:bCs/>
          <w:szCs w:val="32"/>
        </w:rPr>
      </w:pPr>
      <w:bookmarkStart w:id="62" w:name="_Toc2103"/>
      <w:bookmarkStart w:id="63" w:name="_Toc19625"/>
      <w:bookmarkStart w:id="64" w:name="_Toc31398"/>
      <w:bookmarkStart w:id="65" w:name="_Toc25084"/>
      <w:r>
        <w:rPr>
          <w:rFonts w:hint="eastAsia"/>
        </w:rPr>
        <w:t>5</w:t>
      </w:r>
      <w:r>
        <w:rPr>
          <w:rFonts w:hint="eastAsia"/>
          <w:lang w:val="en-US" w:eastAsia="zh-CN"/>
        </w:rPr>
        <w:t xml:space="preserve"> </w:t>
      </w:r>
      <w:r>
        <w:rPr>
          <w:rFonts w:hint="eastAsia"/>
        </w:rPr>
        <w:t>绩效评价结论</w:t>
      </w:r>
      <w:bookmarkEnd w:id="62"/>
      <w:bookmarkEnd w:id="63"/>
      <w:bookmarkEnd w:id="64"/>
      <w:bookmarkEnd w:id="65"/>
    </w:p>
    <w:p>
      <w:pPr>
        <w:pStyle w:val="4"/>
        <w:ind w:firstLine="643"/>
        <w:rPr>
          <w:bCs/>
          <w:szCs w:val="32"/>
        </w:rPr>
      </w:pPr>
      <w:bookmarkStart w:id="66" w:name="_Toc1354"/>
      <w:bookmarkStart w:id="67" w:name="_Toc14567"/>
      <w:bookmarkStart w:id="68" w:name="_Toc19093"/>
      <w:bookmarkStart w:id="69" w:name="_Toc25364"/>
      <w:r>
        <w:rPr>
          <w:rFonts w:hint="eastAsia"/>
        </w:rPr>
        <w:t>5.1</w:t>
      </w:r>
      <w:r>
        <w:rPr>
          <w:rFonts w:hint="eastAsia"/>
          <w:lang w:val="en-US" w:eastAsia="zh-CN"/>
        </w:rPr>
        <w:t xml:space="preserve"> </w:t>
      </w:r>
      <w:r>
        <w:rPr>
          <w:rFonts w:hint="eastAsia"/>
        </w:rPr>
        <w:t>绩效评价得分</w:t>
      </w:r>
      <w:bookmarkEnd w:id="66"/>
      <w:bookmarkEnd w:id="67"/>
      <w:bookmarkEnd w:id="68"/>
      <w:bookmarkEnd w:id="69"/>
    </w:p>
    <w:p>
      <w:pPr>
        <w:ind w:firstLine="560"/>
      </w:pPr>
      <w:r>
        <w:rPr>
          <w:rFonts w:hint="eastAsia"/>
          <w:highlight w:val="none"/>
        </w:rPr>
        <w:t>本次部门整体绩效得分为</w:t>
      </w:r>
      <w:r>
        <w:rPr>
          <w:rFonts w:hint="eastAsia"/>
          <w:highlight w:val="none"/>
          <w:lang w:val="en-US" w:eastAsia="zh-CN"/>
        </w:rPr>
        <w:t>91.23</w:t>
      </w:r>
      <w:r>
        <w:rPr>
          <w:rFonts w:hint="eastAsia"/>
          <w:highlight w:val="none"/>
        </w:rPr>
        <w:t>分。</w:t>
      </w:r>
      <w:r>
        <w:rPr>
          <w:rFonts w:hint="eastAsia"/>
        </w:rPr>
        <w:t>按照相关财政支出绩效自评暂行办法对本部门整体支出绩效进行了自查自评，通过加强组织领导和统筹协调，完善绩效评价指标体系，落实主体责任，强化运行跟踪和监控管理。</w:t>
      </w:r>
    </w:p>
    <w:p>
      <w:pPr>
        <w:pStyle w:val="4"/>
        <w:ind w:firstLine="643"/>
      </w:pPr>
      <w:bookmarkStart w:id="70" w:name="_Toc26817"/>
      <w:bookmarkStart w:id="71" w:name="_Toc30174"/>
      <w:bookmarkStart w:id="72" w:name="_Toc4550"/>
      <w:bookmarkStart w:id="73" w:name="_Toc5112"/>
      <w:r>
        <w:rPr>
          <w:rFonts w:hint="eastAsia"/>
        </w:rPr>
        <w:t>5.2</w:t>
      </w:r>
      <w:r>
        <w:rPr>
          <w:rFonts w:hint="eastAsia"/>
          <w:lang w:val="en-US" w:eastAsia="zh-CN"/>
        </w:rPr>
        <w:t xml:space="preserve"> </w:t>
      </w:r>
      <w:r>
        <w:rPr>
          <w:rFonts w:hint="eastAsia"/>
        </w:rPr>
        <w:t>存在绩效问题</w:t>
      </w:r>
      <w:bookmarkEnd w:id="70"/>
      <w:bookmarkEnd w:id="71"/>
      <w:bookmarkEnd w:id="72"/>
      <w:bookmarkEnd w:id="73"/>
    </w:p>
    <w:p>
      <w:pPr>
        <w:ind w:firstLine="560"/>
      </w:pPr>
      <w:r>
        <w:rPr>
          <w:rFonts w:hint="eastAsia"/>
        </w:rPr>
        <w:t>绩效评价过程与预算编制、执行相结合的工作机制和部门协调机制有待完善。基于科学分类的绩效标准的缺失，分析方法的单一，都影响了绩效管理工作的科学性和规范性。部分项目计划编制不够精确，在执行过程中存在预算执行欠进度情况。</w:t>
      </w:r>
    </w:p>
    <w:p>
      <w:pPr>
        <w:pStyle w:val="3"/>
        <w:ind w:firstLine="643"/>
        <w:rPr>
          <w:bCs/>
          <w:szCs w:val="32"/>
        </w:rPr>
      </w:pPr>
      <w:bookmarkStart w:id="74" w:name="_Toc13365"/>
      <w:bookmarkStart w:id="75" w:name="_Toc15793"/>
      <w:bookmarkStart w:id="76" w:name="_Toc3565"/>
      <w:bookmarkStart w:id="77" w:name="_Toc6504"/>
      <w:r>
        <w:rPr>
          <w:rFonts w:hint="eastAsia"/>
        </w:rPr>
        <w:t>6</w:t>
      </w:r>
      <w:r>
        <w:rPr>
          <w:rFonts w:hint="eastAsia"/>
          <w:lang w:val="en-US" w:eastAsia="zh-CN"/>
        </w:rPr>
        <w:t xml:space="preserve"> </w:t>
      </w:r>
      <w:r>
        <w:rPr>
          <w:rFonts w:hint="eastAsia"/>
        </w:rPr>
        <w:t>经验教训与建议</w:t>
      </w:r>
      <w:bookmarkEnd w:id="74"/>
      <w:bookmarkEnd w:id="75"/>
      <w:bookmarkEnd w:id="76"/>
      <w:bookmarkEnd w:id="77"/>
    </w:p>
    <w:p>
      <w:pPr>
        <w:pStyle w:val="4"/>
        <w:ind w:firstLine="643"/>
      </w:pPr>
      <w:bookmarkStart w:id="78" w:name="_Toc29952"/>
      <w:bookmarkStart w:id="79" w:name="_Toc32511"/>
      <w:bookmarkStart w:id="80" w:name="_Toc26656"/>
      <w:bookmarkStart w:id="81" w:name="_Toc17490"/>
      <w:r>
        <w:rPr>
          <w:rFonts w:hint="eastAsia"/>
        </w:rPr>
        <w:t>6.1</w:t>
      </w:r>
      <w:r>
        <w:rPr>
          <w:rFonts w:hint="eastAsia"/>
          <w:lang w:val="en-US" w:eastAsia="zh-CN"/>
        </w:rPr>
        <w:t xml:space="preserve"> </w:t>
      </w:r>
      <w:r>
        <w:rPr>
          <w:rFonts w:hint="eastAsia"/>
        </w:rPr>
        <w:t>经验教训</w:t>
      </w:r>
      <w:bookmarkEnd w:id="78"/>
      <w:bookmarkEnd w:id="79"/>
      <w:bookmarkEnd w:id="80"/>
      <w:bookmarkEnd w:id="81"/>
    </w:p>
    <w:p>
      <w:pPr>
        <w:ind w:firstLine="560"/>
        <w:rPr>
          <w:rFonts w:hint="default" w:eastAsia="宋体"/>
        </w:rPr>
      </w:pPr>
      <w:bookmarkStart w:id="82" w:name="_Toc20220"/>
      <w:r>
        <w:rPr>
          <w:rFonts w:hint="eastAsia" w:eastAsia="宋体"/>
          <w:lang w:val="en-US" w:eastAsia="zh-CN"/>
        </w:rPr>
        <w:t>通过这次的绩效评价，充分认识到了</w:t>
      </w:r>
      <w:r>
        <w:rPr>
          <w:rFonts w:hint="default" w:eastAsia="宋体"/>
          <w:lang w:val="en-US" w:eastAsia="zh-CN"/>
        </w:rPr>
        <w:t>进一步提高</w:t>
      </w:r>
      <w:r>
        <w:rPr>
          <w:rFonts w:hint="eastAsia" w:eastAsia="宋体"/>
          <w:lang w:val="en-US" w:eastAsia="zh-CN"/>
        </w:rPr>
        <w:t>绩效管理工作需要</w:t>
      </w:r>
      <w:r>
        <w:rPr>
          <w:rFonts w:hint="eastAsia" w:eastAsia="宋体"/>
        </w:rPr>
        <w:t>结合本部门年度的发展计划、职责和任务科学合理地编制部门预算</w:t>
      </w:r>
      <w:r>
        <w:rPr>
          <w:rFonts w:hint="eastAsia" w:eastAsia="宋体"/>
          <w:lang w:eastAsia="zh-CN"/>
        </w:rPr>
        <w:t>，</w:t>
      </w:r>
      <w:r>
        <w:rPr>
          <w:rFonts w:hint="default" w:eastAsia="宋体"/>
          <w:lang w:val="en-US" w:eastAsia="zh-CN"/>
        </w:rPr>
        <w:t>在预算管理过程中统筹安排好各个环节的工作，进一步加强财务和业务部门之间的参与协助力度，加强与各科室的沟通配合、培训和指导</w:t>
      </w:r>
      <w:r>
        <w:rPr>
          <w:rFonts w:hint="eastAsia" w:eastAsia="宋体"/>
          <w:lang w:val="en-US" w:eastAsia="zh-CN"/>
        </w:rPr>
        <w:t>；</w:t>
      </w:r>
      <w:r>
        <w:rPr>
          <w:rFonts w:hint="eastAsia" w:eastAsia="宋体"/>
        </w:rPr>
        <w:t>在抓好财政支出工作的同时，要更加注重产出及效率，力求优化资源配置、控制成本、提高公共产品质量和公共服务水平的目的。</w:t>
      </w:r>
    </w:p>
    <w:p>
      <w:pPr>
        <w:pStyle w:val="4"/>
        <w:ind w:firstLine="643"/>
        <w:rPr>
          <w:rFonts w:hint="eastAsia"/>
        </w:rPr>
      </w:pPr>
      <w:bookmarkStart w:id="83" w:name="_Toc23588"/>
      <w:bookmarkStart w:id="84" w:name="_Toc20355"/>
      <w:bookmarkStart w:id="85" w:name="_Toc7089"/>
      <w:r>
        <w:rPr>
          <w:rFonts w:hint="eastAsia"/>
        </w:rPr>
        <w:t>6.2</w:t>
      </w:r>
      <w:r>
        <w:rPr>
          <w:rFonts w:hint="eastAsia"/>
          <w:lang w:val="en-US" w:eastAsia="zh-CN"/>
        </w:rPr>
        <w:t xml:space="preserve"> </w:t>
      </w:r>
      <w:r>
        <w:rPr>
          <w:rFonts w:hint="eastAsia"/>
        </w:rPr>
        <w:t>建议</w:t>
      </w:r>
      <w:bookmarkEnd w:id="82"/>
      <w:bookmarkEnd w:id="83"/>
      <w:bookmarkEnd w:id="84"/>
      <w:bookmarkEnd w:id="85"/>
    </w:p>
    <w:p>
      <w:pPr>
        <w:ind w:firstLine="560"/>
      </w:pPr>
      <w:r>
        <w:rPr>
          <w:rFonts w:hint="eastAsia"/>
        </w:rPr>
        <w:t>为了进一步提高本部门整体绩效水平，在预算编制和预算执行过程中，提出如下建议：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lang w:val="en-US" w:eastAsia="zh-CN"/>
        </w:rPr>
        <w:t xml:space="preserve">（一） </w:t>
      </w:r>
      <w:r>
        <w:rPr>
          <w:rFonts w:hint="eastAsia"/>
        </w:rPr>
        <w:t>进一步加强预算资金管理。</w:t>
      </w:r>
      <w:r>
        <w:rPr>
          <w:rFonts w:hint="default"/>
        </w:rPr>
        <w:t>细化预算编制工作，认真做好预算的编制。进一步加强单位内部机构各</w:t>
      </w:r>
      <w:r>
        <w:rPr>
          <w:rFonts w:hint="default"/>
          <w:lang w:eastAsia="zh-CN"/>
        </w:rPr>
        <w:t>部门</w:t>
      </w:r>
      <w:r>
        <w:rPr>
          <w:rFonts w:hint="default"/>
        </w:rPr>
        <w:t>的预算管理意识，严格按照预算编制的相关制度和要求进行预算编制；加强内部预算编制的审核和预算控制指标的下达</w:t>
      </w:r>
      <w:r>
        <w:rPr>
          <w:rFonts w:hint="eastAsia"/>
          <w:lang w:eastAsia="zh-CN"/>
        </w:rPr>
        <w:t>；</w:t>
      </w:r>
      <w:r>
        <w:rPr>
          <w:rFonts w:hint="default"/>
        </w:rPr>
        <w:t>进一步加快预算执行进度</w:t>
      </w:r>
      <w:r>
        <w:rPr>
          <w:rFonts w:hint="eastAsia"/>
          <w:lang w:eastAsia="zh-CN"/>
        </w:rPr>
        <w:t>：</w:t>
      </w:r>
      <w:r>
        <w:rPr>
          <w:rFonts w:hint="default"/>
        </w:rPr>
        <w:t>改进预算安排，坚持当年形成支出的当年安排，当年不能形成支出的不予安排</w:t>
      </w:r>
      <w:r>
        <w:rPr>
          <w:rFonts w:hint="eastAsia"/>
          <w:lang w:eastAsia="zh-CN"/>
        </w:rPr>
        <w:t>。</w:t>
      </w:r>
      <w:r>
        <w:rPr>
          <w:rFonts w:hint="default"/>
        </w:rPr>
        <w:t>加快预算执行，督促</w:t>
      </w:r>
      <w:r>
        <w:rPr>
          <w:rFonts w:hint="eastAsia"/>
          <w:lang w:eastAsia="zh-CN"/>
        </w:rPr>
        <w:t>相关业务科室</w:t>
      </w:r>
      <w:r>
        <w:rPr>
          <w:rFonts w:hint="default"/>
        </w:rPr>
        <w:t>加快项目实施进度，加快资金结算进度，严控项目结转结余。</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rPr>
      </w:pPr>
      <w:r>
        <w:rPr>
          <w:rFonts w:hint="eastAsia"/>
        </w:rPr>
        <w:t>（</w:t>
      </w:r>
      <w:r>
        <w:rPr>
          <w:rFonts w:hint="eastAsia"/>
          <w:lang w:val="en-US" w:eastAsia="zh-CN"/>
        </w:rPr>
        <w:t>二</w:t>
      </w:r>
      <w:r>
        <w:rPr>
          <w:rFonts w:hint="eastAsia"/>
        </w:rPr>
        <w:t>）建立健全住建系统内控体系，建设符合住建系统管理需要的内控信息化系统，实现资金从预算编制、预算执行、会计核算、决算全过程管理。建立预算绩效管理系统，涵盖项目库，实现从项目立项、绩效目标编制、绩效运行监控到绩效评价的全过程管理。</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rPr>
      </w:pPr>
      <w:r>
        <w:rPr>
          <w:rFonts w:hint="eastAsia"/>
          <w:lang w:eastAsia="zh-CN"/>
        </w:rPr>
        <w:t>（</w:t>
      </w:r>
      <w:r>
        <w:rPr>
          <w:rFonts w:hint="eastAsia"/>
          <w:lang w:val="en-US" w:eastAsia="zh-CN"/>
        </w:rPr>
        <w:t>三</w:t>
      </w:r>
      <w:r>
        <w:rPr>
          <w:rFonts w:hint="eastAsia"/>
          <w:lang w:eastAsia="zh-CN"/>
        </w:rPr>
        <w:t>）</w:t>
      </w:r>
      <w:r>
        <w:rPr>
          <w:rFonts w:hint="default"/>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0000FF"/>
          <w:sz w:val="32"/>
          <w:szCs w:val="32"/>
        </w:rPr>
      </w:pPr>
    </w:p>
    <w:p>
      <w:pPr>
        <w:pStyle w:val="15"/>
        <w:rPr>
          <w:rFonts w:hint="default"/>
        </w:rPr>
      </w:pPr>
    </w:p>
    <w:p>
      <w:pPr>
        <w:pStyle w:val="15"/>
        <w:rPr>
          <w:rFonts w:hint="eastAsia"/>
        </w:rPr>
      </w:pPr>
    </w:p>
    <w:p>
      <w:pPr>
        <w:pStyle w:val="15"/>
        <w:rPr>
          <w:rFonts w:hint="eastAsia"/>
        </w:rPr>
      </w:pPr>
    </w:p>
    <w:p>
      <w:pPr>
        <w:pStyle w:val="15"/>
        <w:rPr>
          <w:rFonts w:hint="eastAsia"/>
        </w:rPr>
        <w:sectPr>
          <w:footerReference r:id="rId12" w:type="default"/>
          <w:pgSz w:w="11906" w:h="16838"/>
          <w:pgMar w:top="1440" w:right="1800" w:bottom="1440" w:left="1800" w:header="851" w:footer="992" w:gutter="0"/>
          <w:pgNumType w:start="1"/>
          <w:cols w:space="425" w:num="1"/>
          <w:docGrid w:type="lines" w:linePitch="312" w:charSpace="0"/>
        </w:sectPr>
      </w:pPr>
    </w:p>
    <w:p>
      <w:pPr>
        <w:ind w:firstLine="0" w:firstLineChars="0"/>
      </w:pPr>
      <w:bookmarkStart w:id="86" w:name="_Toc6764"/>
      <w:r>
        <w:rPr>
          <w:rFonts w:hint="eastAsia"/>
        </w:rPr>
        <w:t>附：部门整体绩效评价指标评分表</w:t>
      </w:r>
      <w:bookmarkEnd w:id="86"/>
    </w:p>
    <w:tbl>
      <w:tblPr>
        <w:tblStyle w:val="13"/>
        <w:tblW w:w="1391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1613"/>
        <w:gridCol w:w="2286"/>
        <w:gridCol w:w="2079"/>
        <w:gridCol w:w="977"/>
        <w:gridCol w:w="1276"/>
        <w:gridCol w:w="4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14"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连云港市市级部门整体支出绩效自评价评分表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填报单位：</w:t>
            </w:r>
          </w:p>
        </w:tc>
        <w:tc>
          <w:tcPr>
            <w:tcW w:w="111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连云港市住房和城乡建设局（机关）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评价指标</w:t>
            </w:r>
          </w:p>
        </w:tc>
        <w:tc>
          <w:tcPr>
            <w:tcW w:w="2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指标说明</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权重</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w:t>
            </w: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计划制定</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工作计划制定健全性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是否制定了明确的年度工作计划，包括总体目标、实施内容、时间、资金、人员等；②年度工作计划是否具体、可操作；③年度工作计划是否与部门职能相匹配；④年度工作计划是否与部门中长期战略相衔接。评分规则：以上评价要点各占1/4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中长期规划制定健全性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是否制定了明确的中长期规划，包括总体目标、工作内容、时间进度等；②中长期规划是否涵盖了部门全部职能，并与部门职能相匹配。评分规则：以上评价要点各占1/2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目标设定</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绩效指标明确性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是否将部门整体预算绩效目标细化分解为具体的重点工作任务；②部门整体及项目的绩效指标是否清晰，指标值是否量化、可衡量；③是否与年度重点工作任务数相对应，并突出核心绩效指标。评分规则：以上评价要点各占1/3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绩效目标合理性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是否符合国家法律法规、国民经济和社会发展总体规划、部门“三定”方案确定的职责；②是否符合部门制定的中长期规划和年度工作计划；③是否与本年度部门预算资金相匹配。评分规则：以上评价要点各占1/3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预算编制规范性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预算填报方式是否规范，填报内容是否合理、科学、完整；②是否经预算主管部门集体决策程序（如三重一大）。评分规则：以上评价要点各占1/2分值，每个要点执行情况分为达成、部分达成、未达成三档，分别按指标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预算编制科学性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预算编制是否经过科学论证；②预算内容与项目内容是否匹配；③预算额度测算依据是否充分，按照标准编制；④预算确定的项目投资额或资金量是否与工作任务相匹配。评分规则：指标完成情况分为达成、部分达成、未达成三档，分别按指标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w:t>
            </w: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非税收入预算完成率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非税收入预算完成率=（非税收入实际完成数/非税收入预算数）×100%。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非税收入实际完成数：部门（单位）本年度实际完成的非税收入数。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预算数：本年度部门（单位）编制的非税收入预算数。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1.比率≥100%，得满分；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2.比率＜100%，每减少1%，扣2%的权重分，扣完为止。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政府采购执行率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政府采购执行率=（实际政府采购金额/政府采购预算数）×100%；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政府采购预算：采购机关根据事业发展计划和行政任务编制的、并经过规定程序批准的年度政府采购计划。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评分规则：得分=政府采购执行率×分值。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“三公经费”变动率=[（本年度“三公经费”总额-上年度“三公经费”总额）/上年度“三公经费”总额]×100%。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“三公经费”：年度预算安排的因公出国（境）费、公务车辆购置及运行费和公务招待费。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1.比率≤0%，得满分；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2.比率＞0%，不得分。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公用经费控制率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公用经费控制率=（实际支出公用经费总额/预算安排公用经费总额）×100%。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1.比率≤100%，得满分；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2.比率＞100%，不得分。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结转结余率=结转结余总额/调整预算数×100%。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结转结余总额：部门（单位）本年度的结转资金与结余资金之和（以决算数为准，“三公”经费未执行数和政府采购节约资金等视同已支出）。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1.比率=0%，得满分；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2.10%≤比率＜0%，每增加1%，扣10%的权重分，扣完为止。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1.基本支出预算执行率=（基本支出预算执行数/基本支出调整预算数）×100%。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2.项目支出预算执行率=（项目支出预算执行数/项目支出调整预算数）×100%。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评分规则：以上评价要点各占1/2权重，得分=（基本支出预算执行率+项目支出预算执行率）×50%×分值。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预算调整数/预算数）×100%。预算调整数：部门（单位）在本年度内涉及预算的追加、追减或结构调整的资金总和（因落实国家政策，发生不可抗力、上级部门或本级党委政府临时交办而产生的调整除外）。评分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1.比率=0%，得满分；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2.20%≤比率＜0%，每增加1%，扣5%的权重分，扣完为止。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支付进度符合率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进度率=（实际支付进度/计划支付进度）×100%。实际支付进度：部门在某一时点的支出数与年度预算数的比率。计划支付进度：由部门在申报部门整体绩效目标时确定的支付进度（比率）。评分规则：1.比率≥100%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2.比率＜100%，每减少1%，扣2%的权重分，扣完为止。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预算管理制度健全性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是否已制定或具有相应的预算管理内控制度，包括收入与支出管理、往来资金结算管理、现金及银行存款管理、财务监督管理、政府采购管理、绩效管理等；②预算管理制度是否合法、合规、完整。评分规则：以上评价要点各占1/2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非税收入管理合规性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非税收入的部门无需设置。评价要点：①非税收入征收是否做到依法征收、应收尽收；②非税收入是否按规定缴入国库或财政专户，是否存在截留、挪用等情况。评分规则：以上评价要点各占1/2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预决算信息公开度</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是否按规定内容公开预决算信息；②是否按规定时限公开预决算信息。评分规则：以上评价要点各占1/2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基础信息完善性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基本财务管理制度健全；②基础数据信息和会计信息资料是否真实、完整、准确。评分规则：以上评价要点各占1/2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绩效管理覆盖率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绩效管理覆盖率=(纳入绩效管理预算数/部门整体预算总额)×100%。评分规则：得分=绩效管理覆盖率×分值。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是否符合国家财经法规和财务管理制度以及有关专项资金管理办法的规定；②是否存在截留、挤占、挪用、虚列支出等情况；③资金拨付是否有完整的审批程序和手续；④公用经费是否存在超标准支出情况，项目支出与公用经费是否存在重复交叉。评分规则：以上评价要点各占1/4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资产管理规范性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资产购置是否符合规定，新购资产入库管理是否规范（如编制采购计划、进行采购审核、验收等）；②是否定期对现有资产进行清查统计，是否账实相符；③资产有偿使用和资产处置是否规范，所获收入是否及时足额上缴。评分规则：以上评价要点各占1/3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固定资产利用率=（实际在用固定资产总额/所有固定资产总额）×100%。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评分规则：得分=固定资产利用率×分值。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资产管理制度健全性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是否已制定或具有资产管理制度；②相关资金管理制度是否合法、合规、完整。评分规则：以上评价要点各占1/2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项目管理制度执行规范性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项目管理工作机制是否健全，沟通协调是否顺畅；②项目是否按照要求规范严格地执行制度，包括可行性论证、概算、预算、施工设计、资金拨付、组织申报、政府采购、招投标、监理、中期检查、竣工验收、公开公示等。评分规则：以上评价要点各占1/2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项目管理制度健全性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是否已制定或具有相应的项目管理制度；②项目管理制度是否合法、合规、完整。评分规则：以上评价要点各占1/2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人员管理</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人员管理制度执行有效性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年终组织个人、处（科）室考核，实施程序规范、资料完整；②考核结果切实运用。评分规则：以上评价要点各占1/2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在职人员控制率=（在职人员数/编制数）×100%。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在职人员数：部门（单位）实际在职人数，以财政部确定的部门决算编制口径为准。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编制数：机构编制部门核定批复的部门（单位）的人员编制数。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1.比率≤100%，得满分；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2.比率＞100%，每增加1%，扣5%的权重分，扣完为止。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人员管理制度健全性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有明确的组织架构和职责分工；②人员配备是否充足，是否能够保障单位履职需要；③是否存在以政府购买服务变相用工情况。评分规则：以上评价要点各占1/3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机构建设</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业务学习与培训及时完成率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业务学习与培训及时完成率=（实际及时完成的业务学习与培训数/计划业务学习与培训数）×100%。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评分规则：得分=业务学习与培训及时完成率×分值。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纪检监察工作有效性</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部分达成并具有一定效果</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要点：①纪检监督工作实施程序规范、相关资料完整；②纪检监督结果切实运用。评分规则：以上评价要点各占1/2分值，每个要点执行情况分为达成、部分达成、未达成三档，分别按分值的100%-80%（含）、80%-60%（含）、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组织建设工作及时完成率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组织建设工作完成率=（实际及时完成的组织建设工作数/计划组织建设工作数）×100%。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评分规则：得分=业务学习与培训及时完成率×分值。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城市基础设施建设</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城市基础设施满意度</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部分达成并具有一定效果</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污水处理费</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污水处理完成质量</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人防工程建设</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人防工程建设维护质量</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部分达成并具有一定效果</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城市建设、规划、发展保障</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城市建设发展满意度</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部分达成并具有一定效果</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民防大楼物业维护</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民防大楼物业维护质量</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住建行业发展保障</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住建行业发展保障质量</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办公设备信息化建设</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办公设备购买信息化建设完成质量</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部分达成并具有一定效果</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行业监督管理运行经费</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行业监督管理运行完成质量</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安全生产及重大事项保障</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安全生产重大事项保障质量</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对社会效益产生积极影响</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对社会产生的积极效益</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对区域生态环境的提升</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提高市民满意度可持续性影响</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民众满意度</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达成预期目标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3914"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注：自评价可参考绩效目标，结合评价实际情况设置相应评价指标，并分别打分。指标栏可以根据自评价指标设置情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况自行调整。</w:t>
            </w:r>
          </w:p>
        </w:tc>
      </w:tr>
    </w:tbl>
    <w:p>
      <w:pPr>
        <w:ind w:firstLine="0" w:firstLineChars="0"/>
      </w:pPr>
    </w:p>
    <w:p>
      <w:pPr>
        <w:ind w:firstLine="640"/>
        <w:rPr>
          <w:sz w:val="32"/>
          <w:szCs w:val="32"/>
        </w:rPr>
      </w:pPr>
    </w:p>
    <w:sectPr>
      <w:footerReference r:id="rId13"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22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31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JhMTZjOWQ5MTdkNDcyZmNlZjVlZWE1ZTMwZDQwZTkifQ=="/>
  </w:docVars>
  <w:rsids>
    <w:rsidRoot w:val="00172A27"/>
    <w:rsid w:val="00045095"/>
    <w:rsid w:val="000A3658"/>
    <w:rsid w:val="001465FA"/>
    <w:rsid w:val="00172A27"/>
    <w:rsid w:val="00273632"/>
    <w:rsid w:val="0028280A"/>
    <w:rsid w:val="002A4F56"/>
    <w:rsid w:val="003806A1"/>
    <w:rsid w:val="004134D9"/>
    <w:rsid w:val="00497627"/>
    <w:rsid w:val="007F0666"/>
    <w:rsid w:val="00821D2B"/>
    <w:rsid w:val="00857207"/>
    <w:rsid w:val="00B0498D"/>
    <w:rsid w:val="00C11696"/>
    <w:rsid w:val="00D033EA"/>
    <w:rsid w:val="00D576E4"/>
    <w:rsid w:val="00DE4BE5"/>
    <w:rsid w:val="00DF58D4"/>
    <w:rsid w:val="00E65B52"/>
    <w:rsid w:val="00F802E4"/>
    <w:rsid w:val="00F923F9"/>
    <w:rsid w:val="01C901A1"/>
    <w:rsid w:val="01EC3E90"/>
    <w:rsid w:val="021A3740"/>
    <w:rsid w:val="02693733"/>
    <w:rsid w:val="02912BEC"/>
    <w:rsid w:val="03A57EFE"/>
    <w:rsid w:val="0471044C"/>
    <w:rsid w:val="04AA54A1"/>
    <w:rsid w:val="04FB7680"/>
    <w:rsid w:val="053A3164"/>
    <w:rsid w:val="05752CE1"/>
    <w:rsid w:val="074402CA"/>
    <w:rsid w:val="082C2976"/>
    <w:rsid w:val="08ED2854"/>
    <w:rsid w:val="09615163"/>
    <w:rsid w:val="0A3F1B1B"/>
    <w:rsid w:val="0B193467"/>
    <w:rsid w:val="0BE341F2"/>
    <w:rsid w:val="0C952804"/>
    <w:rsid w:val="0F1113DA"/>
    <w:rsid w:val="1001302C"/>
    <w:rsid w:val="109C2F25"/>
    <w:rsid w:val="10FB0EEF"/>
    <w:rsid w:val="1127151A"/>
    <w:rsid w:val="12402856"/>
    <w:rsid w:val="132A707B"/>
    <w:rsid w:val="152930B5"/>
    <w:rsid w:val="172D2B29"/>
    <w:rsid w:val="185A202A"/>
    <w:rsid w:val="196A7602"/>
    <w:rsid w:val="1A4563DB"/>
    <w:rsid w:val="1A516B2E"/>
    <w:rsid w:val="1ABB3C36"/>
    <w:rsid w:val="1CA47E81"/>
    <w:rsid w:val="1DF35965"/>
    <w:rsid w:val="1E34475E"/>
    <w:rsid w:val="1EA77F37"/>
    <w:rsid w:val="20D12411"/>
    <w:rsid w:val="226A61B0"/>
    <w:rsid w:val="227315D1"/>
    <w:rsid w:val="22FF35CB"/>
    <w:rsid w:val="24134E54"/>
    <w:rsid w:val="247B1FD9"/>
    <w:rsid w:val="26692F9C"/>
    <w:rsid w:val="2675172F"/>
    <w:rsid w:val="27550B20"/>
    <w:rsid w:val="27850FEB"/>
    <w:rsid w:val="27B243C9"/>
    <w:rsid w:val="27B506FD"/>
    <w:rsid w:val="2A3E27A2"/>
    <w:rsid w:val="2BA83A14"/>
    <w:rsid w:val="2C66553C"/>
    <w:rsid w:val="2D4B2309"/>
    <w:rsid w:val="2E5B3DBF"/>
    <w:rsid w:val="2F522CD5"/>
    <w:rsid w:val="30271214"/>
    <w:rsid w:val="30FD5794"/>
    <w:rsid w:val="319E404D"/>
    <w:rsid w:val="32E41096"/>
    <w:rsid w:val="34BA37F6"/>
    <w:rsid w:val="389E48A6"/>
    <w:rsid w:val="38EA21D0"/>
    <w:rsid w:val="38F117B0"/>
    <w:rsid w:val="3AAC0083"/>
    <w:rsid w:val="3C7C5F3B"/>
    <w:rsid w:val="3DFC0A8C"/>
    <w:rsid w:val="3E7D29C8"/>
    <w:rsid w:val="3E821842"/>
    <w:rsid w:val="423679F8"/>
    <w:rsid w:val="43B35E32"/>
    <w:rsid w:val="442869F9"/>
    <w:rsid w:val="443B5BBB"/>
    <w:rsid w:val="45A9729F"/>
    <w:rsid w:val="467D4684"/>
    <w:rsid w:val="4715598F"/>
    <w:rsid w:val="4AF0127D"/>
    <w:rsid w:val="4EDB463D"/>
    <w:rsid w:val="4FBA24A4"/>
    <w:rsid w:val="4FE74DC9"/>
    <w:rsid w:val="503D2C09"/>
    <w:rsid w:val="5397282A"/>
    <w:rsid w:val="54410CAC"/>
    <w:rsid w:val="54880C46"/>
    <w:rsid w:val="56950233"/>
    <w:rsid w:val="5760060E"/>
    <w:rsid w:val="57770C7B"/>
    <w:rsid w:val="585A2170"/>
    <w:rsid w:val="587A4999"/>
    <w:rsid w:val="59356AD9"/>
    <w:rsid w:val="59A41605"/>
    <w:rsid w:val="5B8F75BC"/>
    <w:rsid w:val="5BCF1086"/>
    <w:rsid w:val="5D0460D0"/>
    <w:rsid w:val="5D377FFE"/>
    <w:rsid w:val="5DAC5E5F"/>
    <w:rsid w:val="5DFB41B8"/>
    <w:rsid w:val="5E565A8E"/>
    <w:rsid w:val="5E5B006A"/>
    <w:rsid w:val="5EB015FA"/>
    <w:rsid w:val="5EB804F7"/>
    <w:rsid w:val="5F607E16"/>
    <w:rsid w:val="60BA0101"/>
    <w:rsid w:val="643A375C"/>
    <w:rsid w:val="64CF4DE8"/>
    <w:rsid w:val="66CD02B1"/>
    <w:rsid w:val="66D87988"/>
    <w:rsid w:val="677C0F4B"/>
    <w:rsid w:val="67951162"/>
    <w:rsid w:val="69AB3F71"/>
    <w:rsid w:val="6B79280B"/>
    <w:rsid w:val="6BF63CD3"/>
    <w:rsid w:val="6D713DD1"/>
    <w:rsid w:val="701E34B3"/>
    <w:rsid w:val="7092012E"/>
    <w:rsid w:val="72680AAE"/>
    <w:rsid w:val="727662A7"/>
    <w:rsid w:val="72A53A36"/>
    <w:rsid w:val="73D73995"/>
    <w:rsid w:val="73FF670B"/>
    <w:rsid w:val="753C7334"/>
    <w:rsid w:val="760101ED"/>
    <w:rsid w:val="78104AA8"/>
    <w:rsid w:val="784F737E"/>
    <w:rsid w:val="78D855C6"/>
    <w:rsid w:val="791A0B8F"/>
    <w:rsid w:val="7AFD2358"/>
    <w:rsid w:val="7B0A3E91"/>
    <w:rsid w:val="7B9F2B75"/>
    <w:rsid w:val="7CE00EED"/>
    <w:rsid w:val="7D2232B3"/>
    <w:rsid w:val="7E2C0E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0" w:firstLineChars="200"/>
      <w:jc w:val="both"/>
    </w:pPr>
    <w:rPr>
      <w:rFonts w:eastAsia="宋体" w:asciiTheme="minorHAnsi" w:hAnsiTheme="minorHAnsi" w:cstheme="minorBidi"/>
      <w:kern w:val="2"/>
      <w:sz w:val="28"/>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32"/>
    </w:rPr>
  </w:style>
  <w:style w:type="paragraph" w:styleId="4">
    <w:name w:val="heading 2"/>
    <w:basedOn w:val="1"/>
    <w:next w:val="1"/>
    <w:unhideWhenUsed/>
    <w:qFormat/>
    <w:uiPriority w:val="0"/>
    <w:pPr>
      <w:keepNext/>
      <w:keepLines/>
      <w:spacing w:line="413" w:lineRule="auto"/>
      <w:outlineLvl w:val="1"/>
    </w:pPr>
    <w:rPr>
      <w:rFonts w:ascii="Arial" w:hAnsi="Arial"/>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楷体_GB2312" w:hAnsi="Times New Roman" w:eastAsia="楷体_GB2312" w:cs="Times New Roman"/>
      <w:color w:val="000000"/>
      <w:sz w:val="24"/>
      <w:szCs w:val="24"/>
      <w:lang w:val="en-US" w:eastAsia="zh-CN" w:bidi="ar-SA"/>
    </w:rPr>
  </w:style>
  <w:style w:type="paragraph" w:styleId="7">
    <w:name w:val="toc 3"/>
    <w:basedOn w:val="1"/>
    <w:next w:val="1"/>
    <w:qFormat/>
    <w:uiPriority w:val="0"/>
    <w:pPr>
      <w:ind w:left="840" w:leftChars="400"/>
    </w:p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Body text|1"/>
    <w:basedOn w:val="1"/>
    <w:qFormat/>
    <w:uiPriority w:val="0"/>
    <w:pPr>
      <w:spacing w:line="391" w:lineRule="auto"/>
      <w:ind w:firstLine="400"/>
    </w:pPr>
    <w:rPr>
      <w:rFonts w:ascii="宋体" w:hAnsi="宋体" w:cs="宋体"/>
      <w:sz w:val="30"/>
      <w:szCs w:val="30"/>
      <w:lang w:val="zh-TW" w:eastAsia="zh-TW" w:bidi="zh-TW"/>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paragraph" w:customStyle="1" w:styleId="1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9">
    <w:name w:val="Table Paragraph"/>
    <w:basedOn w:val="1"/>
    <w:unhideWhenUsed/>
    <w:qFormat/>
    <w:uiPriority w:val="1"/>
    <w:rPr>
      <w:rFonts w:hint="eastAsia"/>
      <w:sz w:val="22"/>
      <w:szCs w:val="22"/>
    </w:rPr>
  </w:style>
  <w:style w:type="character" w:customStyle="1" w:styleId="20">
    <w:name w:val="批注框文本 Char"/>
    <w:basedOn w:val="14"/>
    <w:link w:val="8"/>
    <w:qFormat/>
    <w:uiPriority w:val="0"/>
    <w:rPr>
      <w:rFonts w:eastAsia="宋体"/>
      <w:kern w:val="2"/>
      <w:sz w:val="18"/>
      <w:szCs w:val="18"/>
    </w:rPr>
  </w:style>
  <w:style w:type="paragraph" w:customStyle="1" w:styleId="21">
    <w:name w:val="p0"/>
    <w:basedOn w:val="1"/>
    <w:qFormat/>
    <w:uiPriority w:val="0"/>
    <w:pPr>
      <w:widowControl/>
      <w:spacing w:before="100" w:beforeAutospacing="1" w:after="100" w:afterAutospacing="1"/>
      <w:ind w:firstLine="0" w:firstLineChars="0"/>
      <w:jc w:val="left"/>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13826</Words>
  <Characters>14788</Characters>
  <Lines>136</Lines>
  <Paragraphs>38</Paragraphs>
  <TotalTime>15</TotalTime>
  <ScaleCrop>false</ScaleCrop>
  <LinksUpToDate>false</LinksUpToDate>
  <CharactersWithSpaces>14944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2021-07-16T01:00:00Z</dcterms:created>
  <dc:creator>vivian</dc:creator>
  <cp:lastModifiedBy>Danae</cp:lastModifiedBy>
  <cp:lastPrinted>2021-08-26T08:33:00Z</cp:lastPrinted>
  <dcterms:modified xsi:type="dcterms:W3CDTF">2023-08-28T07:06:09Z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A3F86071CA08489BAEDF83F244C88BE1</vt:lpwstr>
  </property>
</Properties>
</file>