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B39A86">
      <w:r>
        <w:rPr>
          <w:kern w:val="0"/>
        </w:rPr>
        <w:t>202</w:t>
      </w:r>
      <w:r>
        <w:rPr>
          <w:rFonts w:hint="eastAsia"/>
          <w:kern w:val="0"/>
        </w:rPr>
        <w:t>6</w:t>
      </w:r>
      <w:r>
        <w:rPr>
          <w:kern w:val="0"/>
        </w:rPr>
        <w:t>年江苏省优质工程奖扬子杯申报项目</w:t>
      </w:r>
      <w:r>
        <w:rPr>
          <w:rFonts w:hint="eastAsia"/>
          <w:kern w:val="0"/>
        </w:rPr>
        <w:t>清单</w:t>
      </w:r>
    </w:p>
    <w:p w14:paraId="793BB5CE">
      <w:pPr>
        <w:rPr>
          <w:kern w:val="0"/>
        </w:rPr>
      </w:pPr>
      <w:r>
        <w:rPr>
          <w:rFonts w:hint="eastAsia"/>
          <w:kern w:val="0"/>
        </w:rPr>
        <w:t>申报类别：</w:t>
      </w:r>
      <w:r>
        <w:rPr>
          <w:rFonts w:hint="eastAsia"/>
          <w:kern w:val="0"/>
          <w:lang w:eastAsia="zh-CN"/>
        </w:rPr>
        <w:t>房屋建筑</w:t>
      </w:r>
      <w:r>
        <w:rPr>
          <w:rFonts w:hint="eastAsia"/>
          <w:kern w:val="0"/>
        </w:rPr>
        <w:t>工程</w:t>
      </w:r>
    </w:p>
    <w:tbl>
      <w:tblPr>
        <w:tblStyle w:val="14"/>
        <w:tblW w:w="14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53"/>
        <w:gridCol w:w="1265"/>
        <w:gridCol w:w="2176"/>
        <w:gridCol w:w="1133"/>
        <w:gridCol w:w="1691"/>
        <w:gridCol w:w="1852"/>
        <w:gridCol w:w="2127"/>
        <w:gridCol w:w="1897"/>
      </w:tblGrid>
      <w:tr w14:paraId="1500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BAA9B5">
            <w:pPr>
              <w:widowControl w:val="0"/>
              <w:rPr>
                <w:rFonts w:ascii="Times New Roman" w:hAnsi="Times New Roman"/>
                <w:kern w:val="0"/>
                <w:sz w:val="24"/>
              </w:rPr>
            </w:pPr>
          </w:p>
          <w:p w14:paraId="76BD1BB5">
            <w:pPr>
              <w:widowControl w:val="0"/>
              <w:rPr>
                <w:rFonts w:ascii="Times New Roman" w:hAnsi="Times New Roman"/>
                <w:kern w:val="0"/>
                <w:sz w:val="24"/>
              </w:rPr>
            </w:pPr>
          </w:p>
        </w:tc>
        <w:tc>
          <w:tcPr>
            <w:tcW w:w="1353" w:type="dxa"/>
            <w:vAlign w:val="center"/>
          </w:tcPr>
          <w:p w14:paraId="4E0D409F">
            <w:pPr>
              <w:widowControl w:val="0"/>
              <w:rPr>
                <w:rFonts w:ascii="Times New Roman" w:hAnsi="Times New Roman"/>
                <w:kern w:val="0"/>
                <w:sz w:val="24"/>
              </w:rPr>
            </w:pPr>
            <w:r>
              <w:rPr>
                <w:rFonts w:hint="eastAsia" w:ascii="Times New Roman" w:hAnsi="Times New Roman"/>
                <w:kern w:val="0"/>
                <w:sz w:val="24"/>
              </w:rPr>
              <w:t>申报单位</w:t>
            </w:r>
          </w:p>
        </w:tc>
        <w:tc>
          <w:tcPr>
            <w:tcW w:w="1265" w:type="dxa"/>
            <w:vAlign w:val="center"/>
          </w:tcPr>
          <w:p w14:paraId="6D74F29F">
            <w:pPr>
              <w:widowControl w:val="0"/>
              <w:rPr>
                <w:rFonts w:ascii="Times New Roman" w:hAnsi="Times New Roman"/>
                <w:kern w:val="0"/>
                <w:sz w:val="24"/>
              </w:rPr>
            </w:pPr>
            <w:r>
              <w:rPr>
                <w:rFonts w:hint="eastAsia" w:ascii="Times New Roman" w:hAnsi="Times New Roman"/>
                <w:kern w:val="0"/>
                <w:sz w:val="24"/>
              </w:rPr>
              <w:t>工程名称</w:t>
            </w:r>
          </w:p>
        </w:tc>
        <w:tc>
          <w:tcPr>
            <w:tcW w:w="2176" w:type="dxa"/>
            <w:vAlign w:val="center"/>
          </w:tcPr>
          <w:p w14:paraId="3A8CACF5">
            <w:pPr>
              <w:widowControl w:val="0"/>
              <w:rPr>
                <w:rFonts w:ascii="Times New Roman" w:hAnsi="Times New Roman"/>
                <w:kern w:val="0"/>
                <w:sz w:val="24"/>
              </w:rPr>
            </w:pPr>
            <w:r>
              <w:rPr>
                <w:rFonts w:hint="eastAsia" w:ascii="Times New Roman" w:hAnsi="Times New Roman"/>
                <w:kern w:val="0"/>
                <w:sz w:val="24"/>
              </w:rPr>
              <w:t>项目概况</w:t>
            </w:r>
          </w:p>
        </w:tc>
        <w:tc>
          <w:tcPr>
            <w:tcW w:w="1133" w:type="dxa"/>
            <w:vAlign w:val="center"/>
          </w:tcPr>
          <w:p w14:paraId="41D3FBC2">
            <w:pPr>
              <w:widowControl w:val="0"/>
              <w:rPr>
                <w:rFonts w:ascii="Times New Roman" w:hAnsi="Times New Roman"/>
                <w:kern w:val="0"/>
                <w:sz w:val="24"/>
              </w:rPr>
            </w:pPr>
            <w:r>
              <w:rPr>
                <w:rFonts w:hint="eastAsia" w:ascii="Times New Roman" w:hAnsi="Times New Roman"/>
                <w:kern w:val="0"/>
                <w:sz w:val="24"/>
              </w:rPr>
              <w:t>项目竣工验收合格时间</w:t>
            </w:r>
          </w:p>
        </w:tc>
        <w:tc>
          <w:tcPr>
            <w:tcW w:w="1691" w:type="dxa"/>
            <w:vAlign w:val="center"/>
          </w:tcPr>
          <w:p w14:paraId="7C6E29A0">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kern w:val="0"/>
                <w:sz w:val="22"/>
                <w:szCs w:val="22"/>
              </w:rPr>
            </w:pPr>
            <w:r>
              <w:rPr>
                <w:rFonts w:hint="eastAsia" w:ascii="Times New Roman" w:hAnsi="Times New Roman"/>
                <w:kern w:val="0"/>
                <w:sz w:val="22"/>
                <w:szCs w:val="22"/>
              </w:rPr>
              <w:t>项目亮点</w:t>
            </w:r>
          </w:p>
        </w:tc>
        <w:tc>
          <w:tcPr>
            <w:tcW w:w="1852" w:type="dxa"/>
            <w:vAlign w:val="center"/>
          </w:tcPr>
          <w:p w14:paraId="293FCB66">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kern w:val="0"/>
                <w:sz w:val="22"/>
                <w:szCs w:val="22"/>
              </w:rPr>
            </w:pPr>
            <w:r>
              <w:rPr>
                <w:rFonts w:hint="eastAsia" w:ascii="Times New Roman" w:hAnsi="Times New Roman"/>
                <w:kern w:val="0"/>
                <w:sz w:val="22"/>
                <w:szCs w:val="22"/>
              </w:rPr>
              <w:t>项目成效</w:t>
            </w:r>
          </w:p>
        </w:tc>
        <w:tc>
          <w:tcPr>
            <w:tcW w:w="2127" w:type="dxa"/>
            <w:vAlign w:val="center"/>
          </w:tcPr>
          <w:p w14:paraId="0F6ACDAB">
            <w:pPr>
              <w:widowControl w:val="0"/>
              <w:rPr>
                <w:rFonts w:ascii="Times New Roman" w:hAnsi="Times New Roman"/>
                <w:kern w:val="0"/>
                <w:sz w:val="24"/>
              </w:rPr>
            </w:pPr>
            <w:r>
              <w:rPr>
                <w:rFonts w:hint="eastAsia" w:ascii="Times New Roman" w:hAnsi="Times New Roman"/>
                <w:kern w:val="0"/>
                <w:sz w:val="24"/>
              </w:rPr>
              <w:t>项目特征图片</w:t>
            </w:r>
          </w:p>
          <w:p w14:paraId="0F60C2C9">
            <w:pPr>
              <w:widowControl w:val="0"/>
              <w:rPr>
                <w:rFonts w:ascii="Times New Roman" w:hAnsi="Times New Roman"/>
                <w:kern w:val="0"/>
                <w:sz w:val="24"/>
              </w:rPr>
            </w:pPr>
            <w:r>
              <w:rPr>
                <w:rFonts w:hint="eastAsia" w:ascii="Times New Roman" w:hAnsi="Times New Roman"/>
                <w:kern w:val="0"/>
                <w:sz w:val="24"/>
              </w:rPr>
              <w:t>（每个项目</w:t>
            </w:r>
            <w:r>
              <w:rPr>
                <w:rFonts w:ascii="Times New Roman" w:hAnsi="Times New Roman"/>
                <w:kern w:val="0"/>
                <w:sz w:val="24"/>
              </w:rPr>
              <w:t>2</w:t>
            </w:r>
            <w:r>
              <w:rPr>
                <w:rFonts w:hint="eastAsia" w:ascii="Times New Roman" w:hAnsi="Times New Roman"/>
                <w:kern w:val="0"/>
                <w:sz w:val="24"/>
              </w:rPr>
              <w:t>张）</w:t>
            </w:r>
          </w:p>
        </w:tc>
        <w:tc>
          <w:tcPr>
            <w:tcW w:w="1897" w:type="dxa"/>
            <w:vAlign w:val="center"/>
          </w:tcPr>
          <w:p w14:paraId="0E1D4C33">
            <w:pPr>
              <w:widowControl w:val="0"/>
              <w:rPr>
                <w:rFonts w:ascii="Times New Roman" w:hAnsi="Times New Roman"/>
                <w:color w:val="FF0000"/>
                <w:kern w:val="0"/>
                <w:sz w:val="24"/>
              </w:rPr>
            </w:pPr>
            <w:r>
              <w:rPr>
                <w:rFonts w:hint="eastAsia" w:ascii="Times New Roman" w:hAnsi="Times New Roman"/>
                <w:kern w:val="0"/>
                <w:sz w:val="24"/>
              </w:rPr>
              <w:t>图片文字说明</w:t>
            </w:r>
          </w:p>
        </w:tc>
      </w:tr>
      <w:tr w14:paraId="6F99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63020268">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default"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1</w:t>
            </w:r>
          </w:p>
        </w:tc>
        <w:tc>
          <w:tcPr>
            <w:tcW w:w="1353" w:type="dxa"/>
            <w:shd w:val="clear" w:color="auto" w:fill="auto"/>
            <w:vAlign w:val="center"/>
          </w:tcPr>
          <w:p w14:paraId="7E92BC9B">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连云港市房政建设工程有限公司</w:t>
            </w:r>
          </w:p>
        </w:tc>
        <w:tc>
          <w:tcPr>
            <w:tcW w:w="1265" w:type="dxa"/>
            <w:shd w:val="clear" w:color="auto" w:fill="auto"/>
            <w:vAlign w:val="center"/>
          </w:tcPr>
          <w:p w14:paraId="3EA77955">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连云港市人文纪念园项目一期工程总承包(EPC)1#、4#楼及地下室工程</w:t>
            </w:r>
          </w:p>
        </w:tc>
        <w:tc>
          <w:tcPr>
            <w:tcW w:w="2176" w:type="dxa"/>
            <w:shd w:val="clear" w:color="auto" w:fill="auto"/>
            <w:vAlign w:val="center"/>
          </w:tcPr>
          <w:p w14:paraId="65FA5762">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连云港市人文纪念园项目一期工程总承包(EPC)项目位于连云港市徐新公路与242省道交汇东北角，用地范围内南侧临徐新公路，西侧靠近242省道，占地面积约1217.8亩，本期总建筑面积41620.49m²，其中1#综合楼建筑面积为2748m²，4#综合楼建筑面积为2831.92.地下建筑面积10490.47m²，共16070.39m²。</w:t>
            </w:r>
          </w:p>
          <w:p w14:paraId="00DEE7F3">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本工程于2020年3月31日开工，2022年6月17日进行竣工验收。</w:t>
            </w:r>
          </w:p>
          <w:p w14:paraId="0B8FD18B">
            <w:pPr>
              <w:widowControl w:val="0"/>
              <w:rPr>
                <w:rFonts w:hint="eastAsia" w:ascii="Times New Roman" w:hAnsi="Times New Roman" w:eastAsia="宋体" w:cs="宋体"/>
                <w:bCs/>
                <w:iCs/>
                <w:kern w:val="2"/>
                <w:sz w:val="24"/>
                <w:szCs w:val="24"/>
                <w:lang w:val="en-US" w:eastAsia="zh-CN" w:bidi="ar-SA"/>
              </w:rPr>
            </w:pPr>
          </w:p>
        </w:tc>
        <w:tc>
          <w:tcPr>
            <w:tcW w:w="1133" w:type="dxa"/>
            <w:shd w:val="clear" w:color="auto" w:fill="auto"/>
            <w:vAlign w:val="center"/>
          </w:tcPr>
          <w:p w14:paraId="27C912CE">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eastAsia="宋体" w:cs="宋体"/>
                <w:kern w:val="0"/>
                <w:sz w:val="24"/>
                <w:lang w:val="en-US" w:eastAsia="zh-CN"/>
              </w:rPr>
              <w:t>2022年6月17日</w:t>
            </w:r>
          </w:p>
        </w:tc>
        <w:tc>
          <w:tcPr>
            <w:tcW w:w="1691" w:type="dxa"/>
            <w:shd w:val="clear" w:color="auto" w:fill="auto"/>
            <w:vAlign w:val="center"/>
          </w:tcPr>
          <w:p w14:paraId="190E2B6A">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1、地下室固化环氧地坪施工的难点</w:t>
            </w:r>
          </w:p>
          <w:p w14:paraId="1CE72AA4">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2、地下室外墙采取的防水措施</w:t>
            </w:r>
          </w:p>
          <w:p w14:paraId="339C1527">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3、构造柱在外墙采用无架眼施工艺</w:t>
            </w:r>
          </w:p>
          <w:p w14:paraId="08F192EC">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4、框架柱、梁接点定型模板工艺</w:t>
            </w:r>
          </w:p>
          <w:p w14:paraId="01749912">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5、海绵条模板工程中应用工艺</w:t>
            </w:r>
          </w:p>
          <w:p w14:paraId="39F1514F">
            <w:pPr>
              <w:widowControl w:val="0"/>
              <w:rPr>
                <w:rFonts w:hint="eastAsia" w:ascii="仿宋" w:hAnsi="仿宋" w:eastAsia="仿宋" w:cs="仿宋"/>
                <w:bCs/>
                <w:kern w:val="2"/>
                <w:sz w:val="32"/>
                <w:szCs w:val="32"/>
                <w:lang w:val="en-US" w:eastAsia="zh-CN" w:bidi="ar-SA"/>
              </w:rPr>
            </w:pPr>
            <w:r>
              <w:rPr>
                <w:rFonts w:hint="eastAsia" w:ascii="Times New Roman" w:hAnsi="Times New Roman"/>
                <w:snapToGrid w:val="0"/>
                <w:kern w:val="0"/>
                <w:sz w:val="24"/>
                <w:lang w:val="en-US" w:eastAsia="zh-CN"/>
              </w:rPr>
              <w:t>6、楼梯踏步阳脚保护技术</w:t>
            </w:r>
          </w:p>
        </w:tc>
        <w:tc>
          <w:tcPr>
            <w:tcW w:w="1852" w:type="dxa"/>
            <w:shd w:val="clear" w:color="auto" w:fill="auto"/>
            <w:vAlign w:val="center"/>
          </w:tcPr>
          <w:p w14:paraId="70927DE9">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 xml:space="preserve">本工程获1#-4#楼获2021年度连云港市 </w:t>
            </w:r>
            <w:r>
              <w:rPr>
                <w:rFonts w:hint="default"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市优质结构工程称号”，“2020年度市建筑工程标准化文明示范工地”、“2020年江苏省建筑施工标准化星级工地”，2023年获“市优质工程玉女峰杯”。施工期间项目部QC小组发布的《运用QC方法提高钢质楼承板的施工质量》获得2020年度连云港市建筑业企业优秀QC小组活动成果叁等奖，《运用QC方法提高地下室大面积环氧地坪施工质量》成功荣获2022年度连云港市建筑业企业优秀QC小组活动成果优秀奖。工程自交付以来，各系统功能正常未发现质量问题和隐患，符合设计要求，满中使用功能，深受业主好评。</w:t>
            </w:r>
          </w:p>
        </w:tc>
        <w:tc>
          <w:tcPr>
            <w:tcW w:w="2127" w:type="dxa"/>
            <w:shd w:val="clear" w:color="auto" w:fill="auto"/>
            <w:vAlign w:val="center"/>
          </w:tcPr>
          <w:p w14:paraId="020F23AB">
            <w:pPr>
              <w:widowControl w:val="0"/>
              <w:rPr>
                <w:rFonts w:hint="eastAsia" w:ascii="Times New Roman" w:hAnsi="Times New Roman" w:eastAsia="宋体" w:cs="宋体"/>
                <w:bCs/>
                <w:kern w:val="0"/>
                <w:sz w:val="24"/>
                <w:szCs w:val="24"/>
                <w:lang w:val="en-US" w:eastAsia="zh-CN" w:bidi="ar-SA"/>
              </w:rPr>
            </w:pPr>
            <w:r>
              <w:drawing>
                <wp:inline distT="0" distB="0" distL="114300" distR="114300">
                  <wp:extent cx="1148715" cy="784860"/>
                  <wp:effectExtent l="0" t="0" r="13335" b="15240"/>
                  <wp:docPr id="39" name="图片 1"/>
                  <wp:cNvGraphicFramePr/>
                  <a:graphic xmlns:a="http://schemas.openxmlformats.org/drawingml/2006/main">
                    <a:graphicData uri="http://schemas.openxmlformats.org/drawingml/2006/picture">
                      <pic:pic xmlns:pic="http://schemas.openxmlformats.org/drawingml/2006/picture">
                        <pic:nvPicPr>
                          <pic:cNvPr id="39" name="图片 1"/>
                          <pic:cNvPicPr/>
                        </pic:nvPicPr>
                        <pic:blipFill>
                          <a:blip r:embed="rId4"/>
                          <a:stretch>
                            <a:fillRect/>
                          </a:stretch>
                        </pic:blipFill>
                        <pic:spPr>
                          <a:xfrm>
                            <a:off x="0" y="0"/>
                            <a:ext cx="1148715" cy="784860"/>
                          </a:xfrm>
                          <a:prstGeom prst="rect">
                            <a:avLst/>
                          </a:prstGeom>
                          <a:noFill/>
                          <a:ln>
                            <a:noFill/>
                          </a:ln>
                        </pic:spPr>
                      </pic:pic>
                    </a:graphicData>
                  </a:graphic>
                </wp:inline>
              </w:drawing>
            </w:r>
            <w:r>
              <w:rPr>
                <w:rFonts w:hint="default" w:ascii="仿宋" w:hAnsi="仿宋" w:eastAsia="仿宋" w:cs="仿宋"/>
                <w:color w:val="000000"/>
                <w:kern w:val="2"/>
                <w:sz w:val="32"/>
                <w:szCs w:val="32"/>
                <w:lang w:val="en-US" w:eastAsia="zh-CN" w:bidi="ar-SA"/>
              </w:rPr>
              <w:drawing>
                <wp:inline distT="0" distB="0" distL="114300" distR="114300">
                  <wp:extent cx="1148715" cy="784860"/>
                  <wp:effectExtent l="0" t="0" r="13335" b="15240"/>
                  <wp:docPr id="40" name="图片 40" descr="2#"/>
                  <wp:cNvGraphicFramePr/>
                  <a:graphic xmlns:a="http://schemas.openxmlformats.org/drawingml/2006/main">
                    <a:graphicData uri="http://schemas.openxmlformats.org/drawingml/2006/picture">
                      <pic:pic xmlns:pic="http://schemas.openxmlformats.org/drawingml/2006/picture">
                        <pic:nvPicPr>
                          <pic:cNvPr id="40" name="图片 40" descr="2#"/>
                          <pic:cNvPicPr/>
                        </pic:nvPicPr>
                        <pic:blipFill>
                          <a:blip r:embed="rId5"/>
                          <a:stretch>
                            <a:fillRect/>
                          </a:stretch>
                        </pic:blipFill>
                        <pic:spPr>
                          <a:xfrm>
                            <a:off x="0" y="0"/>
                            <a:ext cx="1148715" cy="784860"/>
                          </a:xfrm>
                          <a:prstGeom prst="rect">
                            <a:avLst/>
                          </a:prstGeom>
                        </pic:spPr>
                      </pic:pic>
                    </a:graphicData>
                  </a:graphic>
                </wp:inline>
              </w:drawing>
            </w:r>
          </w:p>
        </w:tc>
        <w:tc>
          <w:tcPr>
            <w:tcW w:w="1897" w:type="dxa"/>
            <w:shd w:val="clear" w:color="auto" w:fill="auto"/>
            <w:vAlign w:val="center"/>
          </w:tcPr>
          <w:p w14:paraId="6A4F63B4">
            <w:pPr>
              <w:widowControl w:val="0"/>
              <w:jc w:val="both"/>
              <w:rPr>
                <w:rFonts w:hint="eastAsia" w:ascii="Times New Roman" w:hAnsi="Times New Roman" w:eastAsia="宋体"/>
                <w:snapToGrid w:val="0"/>
                <w:kern w:val="0"/>
                <w:sz w:val="24"/>
                <w:lang w:eastAsia="zh-CN"/>
              </w:rPr>
            </w:pPr>
            <w:r>
              <w:rPr>
                <w:rFonts w:hint="eastAsia" w:ascii="Times New Roman" w:hAnsi="Times New Roman"/>
                <w:sz w:val="24"/>
              </w:rPr>
              <w:t>图1：</w:t>
            </w:r>
            <w:r>
              <w:rPr>
                <w:rFonts w:hint="eastAsia" w:ascii="Times New Roman" w:hAnsi="Times New Roman"/>
                <w:snapToGrid w:val="0"/>
                <w:kern w:val="0"/>
                <w:sz w:val="24"/>
                <w:lang w:eastAsia="zh-CN"/>
              </w:rPr>
              <w:t>地下室环氧地坪</w:t>
            </w:r>
          </w:p>
          <w:p w14:paraId="3BF680FD">
            <w:pPr>
              <w:widowControl w:val="0"/>
              <w:jc w:val="both"/>
              <w:rPr>
                <w:rFonts w:ascii="Times New Roman" w:hAnsi="Times New Roman"/>
                <w:snapToGrid w:val="0"/>
                <w:kern w:val="0"/>
                <w:sz w:val="24"/>
              </w:rPr>
            </w:pPr>
          </w:p>
          <w:p w14:paraId="6EB8B8B6">
            <w:pPr>
              <w:widowControl w:val="0"/>
              <w:jc w:val="both"/>
              <w:rPr>
                <w:rFonts w:hint="eastAsia" w:ascii="Times New Roman" w:hAnsi="Times New Roman" w:eastAsia="宋体"/>
                <w:sz w:val="24"/>
                <w:lang w:eastAsia="zh-CN"/>
              </w:rPr>
            </w:pPr>
            <w:r>
              <w:rPr>
                <w:rFonts w:hint="eastAsia" w:ascii="Times New Roman" w:hAnsi="Times New Roman"/>
                <w:sz w:val="24"/>
              </w:rPr>
              <w:t>图2：</w:t>
            </w:r>
            <w:r>
              <w:rPr>
                <w:rFonts w:hint="eastAsia" w:ascii="Times New Roman" w:hAnsi="Times New Roman"/>
                <w:sz w:val="24"/>
                <w:lang w:eastAsia="zh-CN"/>
              </w:rPr>
              <w:t>室内大厅装修</w:t>
            </w:r>
          </w:p>
          <w:p w14:paraId="2830D9AB">
            <w:pPr>
              <w:widowControl w:val="0"/>
              <w:jc w:val="both"/>
              <w:rPr>
                <w:rFonts w:hint="eastAsia" w:ascii="Times New Roman" w:hAnsi="Times New Roman" w:eastAsia="宋体" w:cs="宋体"/>
                <w:bCs/>
                <w:kern w:val="0"/>
                <w:sz w:val="24"/>
                <w:szCs w:val="24"/>
                <w:lang w:val="en-US" w:eastAsia="zh-CN" w:bidi="ar-SA"/>
              </w:rPr>
            </w:pPr>
          </w:p>
        </w:tc>
      </w:tr>
      <w:tr w14:paraId="65C2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6AF16F40">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2</w:t>
            </w:r>
          </w:p>
        </w:tc>
        <w:tc>
          <w:tcPr>
            <w:tcW w:w="1353" w:type="dxa"/>
            <w:shd w:val="clear" w:color="auto" w:fill="auto"/>
            <w:vAlign w:val="center"/>
          </w:tcPr>
          <w:p w14:paraId="529327EC">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江苏常金建设工程有限公司</w:t>
            </w:r>
          </w:p>
        </w:tc>
        <w:tc>
          <w:tcPr>
            <w:tcW w:w="1265" w:type="dxa"/>
            <w:shd w:val="clear" w:color="auto" w:fill="auto"/>
            <w:vAlign w:val="center"/>
          </w:tcPr>
          <w:p w14:paraId="748888EB">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红星星都荟广场S8#商业</w:t>
            </w:r>
          </w:p>
        </w:tc>
        <w:tc>
          <w:tcPr>
            <w:tcW w:w="2176" w:type="dxa"/>
            <w:shd w:val="clear" w:color="auto" w:fill="auto"/>
            <w:vAlign w:val="center"/>
          </w:tcPr>
          <w:p w14:paraId="7FA00E23">
            <w:pPr>
              <w:widowControl w:val="0"/>
              <w:jc w:val="left"/>
              <w:rPr>
                <w:rFonts w:hint="eastAsia" w:ascii="Times New Roman" w:hAnsi="Times New Roman" w:eastAsia="宋体" w:cs="宋体"/>
                <w:bCs/>
                <w:iCs/>
                <w:kern w:val="2"/>
                <w:sz w:val="24"/>
                <w:szCs w:val="24"/>
                <w:lang w:val="en-US" w:eastAsia="zh-CN" w:bidi="ar-SA"/>
              </w:rPr>
            </w:pPr>
            <w:r>
              <w:rPr>
                <w:rFonts w:ascii="宋体" w:hAnsi="宋体" w:eastAsia="宋体" w:cs="宋体"/>
                <w:sz w:val="24"/>
                <w:szCs w:val="24"/>
              </w:rPr>
              <w:t>红星星都荟广场S8商业位于连云港灌南苏州南路57号，交通便捷。项目总建面35158.94㎡，为地下1层、地上4层框架结构，是集优美外形、齐全功能、先进设施于一体的大型家居商业综合体。</w:t>
            </w:r>
          </w:p>
        </w:tc>
        <w:tc>
          <w:tcPr>
            <w:tcW w:w="1133" w:type="dxa"/>
            <w:shd w:val="clear" w:color="auto" w:fill="auto"/>
            <w:vAlign w:val="center"/>
          </w:tcPr>
          <w:p w14:paraId="5D50FF39">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lang w:val="en-US" w:eastAsia="zh-CN"/>
              </w:rPr>
              <w:t>2023年4月4日</w:t>
            </w:r>
          </w:p>
        </w:tc>
        <w:tc>
          <w:tcPr>
            <w:tcW w:w="1691" w:type="dxa"/>
            <w:shd w:val="clear" w:color="auto" w:fill="auto"/>
            <w:vAlign w:val="center"/>
          </w:tcPr>
          <w:p w14:paraId="3A5F5E9B">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1、</w:t>
            </w:r>
            <w:r>
              <w:rPr>
                <w:rFonts w:ascii="宋体" w:hAnsi="宋体" w:eastAsia="宋体" w:cs="宋体"/>
                <w:sz w:val="24"/>
                <w:szCs w:val="24"/>
              </w:rPr>
              <w:t>墙面板材排布规整，门洞收边精致顺直，观感整洁美观。</w:t>
            </w:r>
          </w:p>
          <w:p w14:paraId="25955386">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2、</w:t>
            </w:r>
            <w:r>
              <w:rPr>
                <w:rFonts w:ascii="宋体" w:hAnsi="宋体" w:eastAsia="宋体" w:cs="宋体"/>
                <w:sz w:val="24"/>
                <w:szCs w:val="24"/>
              </w:rPr>
              <w:t>大厅及走廊地砖铺贴平整，色带分区清晰，整体色泽协调大气。</w:t>
            </w:r>
          </w:p>
          <w:p w14:paraId="2DAFC409">
            <w:pPr>
              <w:widowControl w:val="0"/>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3、外墙幕墙排版匀称，板面平整顺滑，缝格横平竖直，转角棱角顺直方正。</w:t>
            </w:r>
          </w:p>
        </w:tc>
        <w:tc>
          <w:tcPr>
            <w:tcW w:w="1852" w:type="dxa"/>
            <w:shd w:val="clear" w:color="auto" w:fill="auto"/>
            <w:vAlign w:val="center"/>
          </w:tcPr>
          <w:p w14:paraId="7004940B">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1、2023年度市优质结构</w:t>
            </w:r>
          </w:p>
          <w:p w14:paraId="4D25B940">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2、2022上半年度江苏省建筑施工标准化星级工地</w:t>
            </w:r>
          </w:p>
          <w:p w14:paraId="4B435B72">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3、江苏省工程质量管理小组活动II类成果</w:t>
            </w:r>
          </w:p>
        </w:tc>
        <w:tc>
          <w:tcPr>
            <w:tcW w:w="2127" w:type="dxa"/>
            <w:shd w:val="clear" w:color="auto" w:fill="auto"/>
            <w:vAlign w:val="center"/>
          </w:tcPr>
          <w:p w14:paraId="40877E39">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eastAsia="仿宋_GB2312" w:cs="Times New Roman"/>
                <w:b/>
                <w:bCs/>
                <w:color w:val="000000"/>
                <w:sz w:val="28"/>
                <w:szCs w:val="28"/>
                <w:lang w:val="en-US" w:eastAsia="zh-CN"/>
              </w:rPr>
              <w:drawing>
                <wp:inline distT="0" distB="0" distL="114300" distR="114300">
                  <wp:extent cx="1148715" cy="784860"/>
                  <wp:effectExtent l="0" t="0" r="13335" b="15240"/>
                  <wp:docPr id="41" name="图片 41" descr="bcb86397813eccd4828af558dacfbd0d"/>
                  <wp:cNvGraphicFramePr/>
                  <a:graphic xmlns:a="http://schemas.openxmlformats.org/drawingml/2006/main">
                    <a:graphicData uri="http://schemas.openxmlformats.org/drawingml/2006/picture">
                      <pic:pic xmlns:pic="http://schemas.openxmlformats.org/drawingml/2006/picture">
                        <pic:nvPicPr>
                          <pic:cNvPr id="41" name="图片 41" descr="bcb86397813eccd4828af558dacfbd0d"/>
                          <pic:cNvPicPr/>
                        </pic:nvPicPr>
                        <pic:blipFill>
                          <a:blip r:embed="rId6"/>
                          <a:stretch>
                            <a:fillRect/>
                          </a:stretch>
                        </pic:blipFill>
                        <pic:spPr>
                          <a:xfrm>
                            <a:off x="0" y="0"/>
                            <a:ext cx="1148715" cy="784860"/>
                          </a:xfrm>
                          <a:prstGeom prst="rect">
                            <a:avLst/>
                          </a:prstGeom>
                          <a:noFill/>
                          <a:ln>
                            <a:noFill/>
                          </a:ln>
                        </pic:spPr>
                      </pic:pic>
                    </a:graphicData>
                  </a:graphic>
                </wp:inline>
              </w:drawing>
            </w:r>
            <w:r>
              <w:rPr>
                <w:rFonts w:hint="eastAsia" w:ascii="Times New Roman" w:hAnsi="Times New Roman" w:eastAsia="仿宋_GB2312" w:cs="Times New Roman"/>
                <w:b/>
                <w:bCs/>
                <w:color w:val="000000"/>
                <w:sz w:val="28"/>
                <w:szCs w:val="28"/>
                <w:lang w:val="en-US" w:eastAsia="zh-CN"/>
              </w:rPr>
              <w:drawing>
                <wp:inline distT="0" distB="0" distL="114300" distR="114300">
                  <wp:extent cx="1148715" cy="784860"/>
                  <wp:effectExtent l="0" t="0" r="13335" b="15240"/>
                  <wp:docPr id="42" name="图片 42" descr="68d057229d83095acf64cdb09bd43bb2"/>
                  <wp:cNvGraphicFramePr/>
                  <a:graphic xmlns:a="http://schemas.openxmlformats.org/drawingml/2006/main">
                    <a:graphicData uri="http://schemas.openxmlformats.org/drawingml/2006/picture">
                      <pic:pic xmlns:pic="http://schemas.openxmlformats.org/drawingml/2006/picture">
                        <pic:nvPicPr>
                          <pic:cNvPr id="42" name="图片 42" descr="68d057229d83095acf64cdb09bd43bb2"/>
                          <pic:cNvPicPr/>
                        </pic:nvPicPr>
                        <pic:blipFill>
                          <a:blip r:embed="rId7"/>
                          <a:stretch>
                            <a:fillRect/>
                          </a:stretch>
                        </pic:blipFill>
                        <pic:spPr>
                          <a:xfrm>
                            <a:off x="0" y="0"/>
                            <a:ext cx="1148715" cy="784860"/>
                          </a:xfrm>
                          <a:prstGeom prst="rect">
                            <a:avLst/>
                          </a:prstGeom>
                        </pic:spPr>
                      </pic:pic>
                    </a:graphicData>
                  </a:graphic>
                </wp:inline>
              </w:drawing>
            </w:r>
          </w:p>
        </w:tc>
        <w:tc>
          <w:tcPr>
            <w:tcW w:w="1897" w:type="dxa"/>
            <w:shd w:val="clear" w:color="auto" w:fill="auto"/>
            <w:vAlign w:val="center"/>
          </w:tcPr>
          <w:p w14:paraId="2CCD616D">
            <w:pPr>
              <w:widowControl w:val="0"/>
              <w:jc w:val="both"/>
              <w:rPr>
                <w:rFonts w:ascii="Times New Roman" w:hAnsi="Times New Roman"/>
                <w:snapToGrid w:val="0"/>
                <w:kern w:val="0"/>
                <w:sz w:val="24"/>
              </w:rPr>
            </w:pPr>
            <w:r>
              <w:rPr>
                <w:rFonts w:hint="eastAsia" w:ascii="Times New Roman" w:hAnsi="Times New Roman"/>
                <w:sz w:val="24"/>
              </w:rPr>
              <w:t>图1：</w:t>
            </w:r>
            <w:r>
              <w:rPr>
                <w:rFonts w:hint="eastAsia" w:ascii="Times New Roman" w:hAnsi="Times New Roman"/>
                <w:sz w:val="24"/>
                <w:lang w:val="en-US" w:eastAsia="zh-CN"/>
              </w:rPr>
              <w:t>外立面</w:t>
            </w:r>
            <w:r>
              <w:rPr>
                <w:rFonts w:ascii="宋体" w:hAnsi="宋体" w:eastAsia="宋体" w:cs="宋体"/>
                <w:sz w:val="24"/>
                <w:szCs w:val="24"/>
              </w:rPr>
              <w:t>幕墙以标志性菱形网格玻璃打造，兼具品牌辨识度、通透质感</w:t>
            </w:r>
            <w:r>
              <w:rPr>
                <w:rFonts w:hint="eastAsia" w:cs="宋体"/>
                <w:sz w:val="24"/>
                <w:szCs w:val="24"/>
                <w:lang w:eastAsia="zh-CN"/>
              </w:rPr>
              <w:t>、</w:t>
            </w:r>
            <w:r>
              <w:rPr>
                <w:rFonts w:ascii="宋体" w:hAnsi="宋体" w:eastAsia="宋体" w:cs="宋体"/>
                <w:sz w:val="24"/>
                <w:szCs w:val="24"/>
              </w:rPr>
              <w:t>光影层次</w:t>
            </w:r>
            <w:r>
              <w:rPr>
                <w:rFonts w:hint="eastAsia" w:cs="宋体"/>
                <w:sz w:val="24"/>
                <w:szCs w:val="24"/>
                <w:lang w:val="en-US" w:eastAsia="zh-CN"/>
              </w:rPr>
              <w:t>明显</w:t>
            </w:r>
            <w:r>
              <w:rPr>
                <w:rFonts w:hint="eastAsia" w:cs="宋体"/>
                <w:sz w:val="24"/>
                <w:szCs w:val="24"/>
                <w:lang w:eastAsia="zh-CN"/>
              </w:rPr>
              <w:t>、</w:t>
            </w:r>
            <w:r>
              <w:rPr>
                <w:rFonts w:ascii="宋体" w:hAnsi="宋体" w:eastAsia="宋体" w:cs="宋体"/>
                <w:sz w:val="24"/>
                <w:szCs w:val="24"/>
              </w:rPr>
              <w:t>现代感强</w:t>
            </w:r>
            <w:r>
              <w:rPr>
                <w:rFonts w:hint="eastAsia" w:cs="宋体"/>
                <w:sz w:val="24"/>
                <w:szCs w:val="24"/>
                <w:lang w:eastAsia="zh-CN"/>
              </w:rPr>
              <w:t>、</w:t>
            </w:r>
            <w:r>
              <w:rPr>
                <w:rFonts w:ascii="宋体" w:hAnsi="宋体" w:eastAsia="宋体" w:cs="宋体"/>
                <w:sz w:val="24"/>
                <w:szCs w:val="24"/>
              </w:rPr>
              <w:t>节能美观。</w:t>
            </w:r>
          </w:p>
          <w:p w14:paraId="56BF73DC">
            <w:pPr>
              <w:widowControl w:val="0"/>
              <w:jc w:val="both"/>
              <w:rPr>
                <w:rFonts w:ascii="Times New Roman" w:hAnsi="Times New Roman"/>
                <w:sz w:val="24"/>
              </w:rPr>
            </w:pPr>
            <w:r>
              <w:rPr>
                <w:rFonts w:hint="eastAsia" w:ascii="Times New Roman" w:hAnsi="Times New Roman"/>
                <w:sz w:val="24"/>
              </w:rPr>
              <w:t>图2：</w:t>
            </w:r>
            <w:r>
              <w:rPr>
                <w:rFonts w:ascii="宋体" w:hAnsi="宋体" w:eastAsia="宋体" w:cs="宋体"/>
                <w:sz w:val="24"/>
                <w:szCs w:val="24"/>
              </w:rPr>
              <w:t>中庭挑空设计通透明亮，大理石立柱质感高级，扶梯动线清晰，空间开阔大气。</w:t>
            </w:r>
          </w:p>
          <w:p w14:paraId="0BF1DBDB">
            <w:pPr>
              <w:widowControl w:val="0"/>
              <w:jc w:val="both"/>
              <w:rPr>
                <w:rFonts w:hint="eastAsia" w:ascii="Times New Roman" w:hAnsi="Times New Roman" w:eastAsia="宋体" w:cs="宋体"/>
                <w:bCs/>
                <w:kern w:val="0"/>
                <w:sz w:val="24"/>
                <w:szCs w:val="24"/>
                <w:lang w:val="en-US" w:eastAsia="zh-CN" w:bidi="ar-SA"/>
              </w:rPr>
            </w:pPr>
          </w:p>
        </w:tc>
      </w:tr>
      <w:tr w14:paraId="3280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3872F5EA">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3</w:t>
            </w:r>
          </w:p>
        </w:tc>
        <w:tc>
          <w:tcPr>
            <w:tcW w:w="1353" w:type="dxa"/>
            <w:shd w:val="clear" w:color="auto" w:fill="auto"/>
            <w:vAlign w:val="center"/>
          </w:tcPr>
          <w:p w14:paraId="6FA16959">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eastAsia="zh-CN"/>
              </w:rPr>
              <w:t>江苏省华建建设股份有限公司</w:t>
            </w:r>
          </w:p>
        </w:tc>
        <w:tc>
          <w:tcPr>
            <w:tcW w:w="1265" w:type="dxa"/>
            <w:shd w:val="clear" w:color="auto" w:fill="auto"/>
            <w:vAlign w:val="center"/>
          </w:tcPr>
          <w:p w14:paraId="5076E13C">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eastAsia="zh-CN"/>
              </w:rPr>
              <w:t>连云港市苍梧小学开发区校区和连云港市新海实验中学开发区校区项目</w:t>
            </w:r>
          </w:p>
        </w:tc>
        <w:tc>
          <w:tcPr>
            <w:tcW w:w="2176" w:type="dxa"/>
            <w:shd w:val="clear" w:color="auto" w:fill="auto"/>
            <w:vAlign w:val="center"/>
          </w:tcPr>
          <w:p w14:paraId="5B90708E">
            <w:pPr>
              <w:widowControl w:val="0"/>
            </w:pPr>
            <w:r>
              <w:rPr>
                <w:rFonts w:hint="eastAsia"/>
              </w:rPr>
              <w:t>总用地面积</w:t>
            </w:r>
            <w:r>
              <w:t>87788</w:t>
            </w:r>
            <w:r>
              <w:rPr>
                <w:rFonts w:hint="eastAsia"/>
              </w:rPr>
              <w:t>（小学4</w:t>
            </w:r>
            <w:r>
              <w:t>1584/</w:t>
            </w:r>
            <w:r>
              <w:rPr>
                <w:rFonts w:hint="eastAsia"/>
              </w:rPr>
              <w:t>中学</w:t>
            </w:r>
            <w:r>
              <w:t>46204</w:t>
            </w:r>
            <w:r>
              <w:rPr>
                <w:rFonts w:hint="eastAsia"/>
              </w:rPr>
              <w:t>）平方米，总建筑面积为</w:t>
            </w:r>
            <w:r>
              <w:t>65177</w:t>
            </w:r>
            <w:r>
              <w:rPr>
                <w:rFonts w:hint="eastAsia"/>
              </w:rPr>
              <w:t>（小学3</w:t>
            </w:r>
            <w:r>
              <w:t>2878.21/</w:t>
            </w:r>
            <w:r>
              <w:rPr>
                <w:rFonts w:hint="eastAsia"/>
              </w:rPr>
              <w:t>中学</w:t>
            </w:r>
            <w:r>
              <w:t>32298.83</w:t>
            </w:r>
            <w:r>
              <w:rPr>
                <w:rFonts w:hint="eastAsia"/>
              </w:rPr>
              <w:t>）平方米，其中地上部分计容积率建筑面积为</w:t>
            </w:r>
            <w:r>
              <w:t>57828</w:t>
            </w:r>
            <w:r>
              <w:rPr>
                <w:rFonts w:hint="eastAsia"/>
              </w:rPr>
              <w:t>（小学2</w:t>
            </w:r>
            <w:r>
              <w:t>9237.57</w:t>
            </w:r>
            <w:r>
              <w:rPr>
                <w:rFonts w:hint="eastAsia"/>
              </w:rPr>
              <w:t>/中学</w:t>
            </w:r>
            <w:r>
              <w:t>28590.64</w:t>
            </w:r>
            <w:r>
              <w:rPr>
                <w:rFonts w:hint="eastAsia"/>
              </w:rPr>
              <w:t>）平方米，主要功能为教学。地下部分主要功能为单层自走式汽车库、设备用房，建筑面积</w:t>
            </w:r>
            <w:r>
              <w:t>7349</w:t>
            </w:r>
            <w:r>
              <w:rPr>
                <w:rFonts w:hint="eastAsia"/>
              </w:rPr>
              <w:t>（小学3</w:t>
            </w:r>
            <w:r>
              <w:t>640.64/</w:t>
            </w:r>
            <w:r>
              <w:rPr>
                <w:rFonts w:hint="eastAsia"/>
              </w:rPr>
              <w:t>中学3</w:t>
            </w:r>
            <w:r>
              <w:t>708.19</w:t>
            </w:r>
            <w:r>
              <w:rPr>
                <w:rFonts w:hint="eastAsia"/>
              </w:rPr>
              <w:t>）平方米。</w:t>
            </w:r>
          </w:p>
          <w:p w14:paraId="76EC6FF5">
            <w:pPr>
              <w:widowControl w:val="0"/>
              <w:rPr>
                <w:rFonts w:hint="eastAsia" w:ascii="宋体" w:hAnsi="宋体" w:eastAsia="宋体" w:cs="宋体"/>
                <w:bCs/>
                <w:kern w:val="2"/>
                <w:sz w:val="21"/>
                <w:szCs w:val="24"/>
                <w:lang w:val="en-US" w:eastAsia="zh-CN" w:bidi="ar-SA"/>
              </w:rPr>
            </w:pPr>
          </w:p>
        </w:tc>
        <w:tc>
          <w:tcPr>
            <w:tcW w:w="1133" w:type="dxa"/>
            <w:shd w:val="clear" w:color="auto" w:fill="auto"/>
            <w:vAlign w:val="center"/>
          </w:tcPr>
          <w:p w14:paraId="6C917643">
            <w:pPr>
              <w:widowControl w:val="0"/>
              <w:rPr>
                <w:rFonts w:hint="eastAsia" w:ascii="Times New Roman" w:hAnsi="Times New Roman" w:eastAsia="宋体" w:cs="宋体"/>
                <w:kern w:val="0"/>
                <w:sz w:val="24"/>
                <w:lang w:val="en-US" w:eastAsia="zh-CN"/>
              </w:rPr>
            </w:pPr>
            <w:r>
              <w:rPr>
                <w:rFonts w:hint="eastAsia" w:ascii="Times New Roman" w:hAnsi="Times New Roman" w:eastAsia="宋体" w:cs="宋体"/>
                <w:kern w:val="0"/>
                <w:sz w:val="24"/>
                <w:lang w:val="en-US" w:eastAsia="zh-CN"/>
              </w:rPr>
              <w:t>2023年8月25日</w:t>
            </w:r>
          </w:p>
        </w:tc>
        <w:tc>
          <w:tcPr>
            <w:tcW w:w="1691" w:type="dxa"/>
            <w:shd w:val="clear" w:color="auto" w:fill="auto"/>
            <w:vAlign w:val="center"/>
          </w:tcPr>
          <w:p w14:paraId="6878AE43">
            <w:pPr>
              <w:widowControl w:val="0"/>
              <w:rPr>
                <w:snapToGrid w:val="0"/>
              </w:rPr>
            </w:pPr>
            <w:r>
              <w:rPr>
                <w:rFonts w:hint="eastAsia"/>
                <w:snapToGrid w:val="0"/>
              </w:rPr>
              <w:t>1、外墙真石漆</w:t>
            </w:r>
          </w:p>
          <w:p w14:paraId="7485FCDB">
            <w:pPr>
              <w:widowControl w:val="0"/>
              <w:rPr>
                <w:snapToGrid w:val="0"/>
              </w:rPr>
            </w:pPr>
            <w:r>
              <w:rPr>
                <w:rFonts w:hint="eastAsia"/>
                <w:snapToGrid w:val="0"/>
              </w:rPr>
              <w:t>2、屋面层吊顶设钢梁固定吊筋</w:t>
            </w:r>
          </w:p>
          <w:p w14:paraId="36599AA1">
            <w:pPr>
              <w:widowControl w:val="0"/>
              <w:rPr>
                <w:rFonts w:hint="eastAsia" w:ascii="宋体" w:hAnsi="宋体" w:eastAsia="宋体" w:cs="宋体"/>
                <w:bCs/>
                <w:snapToGrid w:val="0"/>
                <w:kern w:val="2"/>
                <w:sz w:val="21"/>
                <w:szCs w:val="24"/>
                <w:lang w:val="en-US" w:eastAsia="zh-CN" w:bidi="ar-SA"/>
              </w:rPr>
            </w:pPr>
            <w:r>
              <w:rPr>
                <w:rFonts w:hint="eastAsia"/>
                <w:snapToGrid w:val="0"/>
              </w:rPr>
              <w:t>3、地下室金刚砂耐磨地面</w:t>
            </w:r>
          </w:p>
        </w:tc>
        <w:tc>
          <w:tcPr>
            <w:tcW w:w="1852" w:type="dxa"/>
            <w:shd w:val="clear" w:color="auto" w:fill="auto"/>
            <w:vAlign w:val="center"/>
          </w:tcPr>
          <w:p w14:paraId="11C2E57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napToGrid w:val="0"/>
                <w:lang w:val="en-US" w:eastAsia="zh-CN"/>
              </w:rPr>
            </w:pPr>
            <w:r>
              <w:rPr>
                <w:rFonts w:hint="eastAsia" w:ascii="宋体" w:hAnsi="宋体" w:eastAsia="宋体" w:cs="宋体"/>
                <w:snapToGrid w:val="0"/>
                <w:lang w:val="en-US" w:eastAsia="zh-CN"/>
              </w:rPr>
              <w:t>1、（1）项目外墙转角多，真石漆创新采用人工多遍刮涂成型工艺替代常规喷涂作业。精细化控制，优化涂层均匀平整（2）经济效益：节约材料；降低运维成本，延长使用寿命。（3）社会效益：提升建筑品质：仿铝板质感简约高级，美观实用，绿色环保，降本增效、提质创新。</w:t>
            </w:r>
          </w:p>
          <w:p w14:paraId="109D8CDD">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napToGrid w:val="0"/>
                <w:lang w:val="en-US" w:eastAsia="zh-CN"/>
              </w:rPr>
            </w:pPr>
            <w:r>
              <w:rPr>
                <w:rFonts w:hint="eastAsia" w:ascii="宋体" w:hAnsi="宋体" w:eastAsia="宋体" w:cs="宋体"/>
                <w:snapToGrid w:val="0"/>
                <w:lang w:val="en-US" w:eastAsia="zh-CN"/>
              </w:rPr>
              <w:t xml:space="preserve">2、（1）顶层吊顶采用钢梁固定吊筋做法，不打穿屋面结构及防水层，吊顶受力好、结构稳固，减少渗水隐患。（2）经济效益：避免破坏防水，大幅减少漏水及维修费用，减少霉变、设施损坏等额外成本。（3）社会效益：防渗漏；减少运维修噪音、粉尘及扰民，保障校园教学秩序； </w:t>
            </w:r>
          </w:p>
          <w:p w14:paraId="0ED5F68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snapToGrid w:val="0"/>
                <w:lang w:val="en-US" w:eastAsia="zh-CN"/>
              </w:rPr>
              <w:t>3、（1）金刚砂耐磨地坪高强度，抗压抗冲击性能极强，使用寿命长达20年以上，减少频维护建材浪费和建筑垃圾。避免起砂。抗油脂、弱酸碱等渗透。（2）经济效益：极低的维护费用和超长使用周期，后期维护简单，经济效益显著。（3）社会效益：金刚砂地坪应用，安全、环保、经济，长效性和低维护减轻资源负担。</w:t>
            </w:r>
          </w:p>
        </w:tc>
        <w:tc>
          <w:tcPr>
            <w:tcW w:w="2127" w:type="dxa"/>
            <w:shd w:val="clear" w:color="auto" w:fill="auto"/>
            <w:vAlign w:val="center"/>
          </w:tcPr>
          <w:p w14:paraId="61C29DAB">
            <w:pPr>
              <w:widowControl w:val="0"/>
            </w:pPr>
            <w:r>
              <w:drawing>
                <wp:inline distT="0" distB="0" distL="0" distR="0">
                  <wp:extent cx="1148715" cy="784860"/>
                  <wp:effectExtent l="0" t="0" r="13335" b="15240"/>
                  <wp:docPr id="43" name="图片 43" descr="C:\Users\xmb001\xwechat_files\wxid_cab42cixrr5q22_ef1c\temp\RWTemp\2026-05\9e20f478899dc29eb19741386f9343c8\30737db380c3ff52fd36432b3e89672c.png"/>
                  <wp:cNvGraphicFramePr/>
                  <a:graphic xmlns:a="http://schemas.openxmlformats.org/drawingml/2006/main">
                    <a:graphicData uri="http://schemas.openxmlformats.org/drawingml/2006/picture">
                      <pic:pic xmlns:pic="http://schemas.openxmlformats.org/drawingml/2006/picture">
                        <pic:nvPicPr>
                          <pic:cNvPr id="43" name="图片 43" descr="C:\Users\xmb001\xwechat_files\wxid_cab42cixrr5q22_ef1c\temp\RWTemp\2026-05\9e20f478899dc29eb19741386f9343c8\30737db380c3ff52fd36432b3e89672c.pn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8715" cy="784860"/>
                          </a:xfrm>
                          <a:prstGeom prst="rect">
                            <a:avLst/>
                          </a:prstGeom>
                          <a:noFill/>
                          <a:ln>
                            <a:noFill/>
                          </a:ln>
                        </pic:spPr>
                      </pic:pic>
                    </a:graphicData>
                  </a:graphic>
                </wp:inline>
              </w:drawing>
            </w:r>
          </w:p>
          <w:p w14:paraId="4AF03856">
            <w:pPr>
              <w:widowControl w:val="0"/>
              <w:rPr>
                <w:rFonts w:hint="eastAsia" w:ascii="宋体" w:hAnsi="宋体" w:eastAsia="宋体" w:cs="宋体"/>
                <w:bCs/>
                <w:kern w:val="2"/>
                <w:sz w:val="21"/>
                <w:szCs w:val="24"/>
                <w:lang w:val="en-US" w:eastAsia="zh-CN" w:bidi="ar-SA"/>
              </w:rPr>
            </w:pPr>
            <w:r>
              <w:drawing>
                <wp:inline distT="0" distB="0" distL="114300" distR="114300">
                  <wp:extent cx="1148715" cy="833120"/>
                  <wp:effectExtent l="0" t="0" r="13335" b="5080"/>
                  <wp:docPr id="44" name="图片 44" descr="C:\Users\xmb001\xwechat_files\wxid_cab42cixrr5q22_ef1c\temp\RWTemp\2026-05\9e20f478899dc29eb19741386f9343c8\163177d7535cf9eea951bd5679c263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xmb001\xwechat_files\wxid_cab42cixrr5q22_ef1c\temp\RWTemp\2026-05\9e20f478899dc29eb19741386f9343c8\163177d7535cf9eea951bd5679c263f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8715" cy="833120"/>
                          </a:xfrm>
                          <a:prstGeom prst="rect">
                            <a:avLst/>
                          </a:prstGeom>
                          <a:noFill/>
                          <a:ln>
                            <a:noFill/>
                          </a:ln>
                        </pic:spPr>
                      </pic:pic>
                    </a:graphicData>
                  </a:graphic>
                </wp:inline>
              </w:drawing>
            </w:r>
          </w:p>
        </w:tc>
        <w:tc>
          <w:tcPr>
            <w:tcW w:w="1897" w:type="dxa"/>
            <w:shd w:val="clear" w:color="auto" w:fill="auto"/>
            <w:vAlign w:val="center"/>
          </w:tcPr>
          <w:p w14:paraId="470622B2">
            <w:pPr>
              <w:widowControl w:val="0"/>
              <w:jc w:val="both"/>
              <w:rPr>
                <w:rFonts w:hint="eastAsia" w:eastAsia="宋体"/>
                <w:snapToGrid w:val="0"/>
                <w:lang w:eastAsia="zh-CN"/>
              </w:rPr>
            </w:pPr>
            <w:r>
              <w:rPr>
                <w:rFonts w:hint="eastAsia"/>
              </w:rPr>
              <w:t>图1：苍梧小学6</w:t>
            </w:r>
            <w:r>
              <w:t>#</w:t>
            </w:r>
            <w:r>
              <w:rPr>
                <w:rFonts w:hint="eastAsia"/>
              </w:rPr>
              <w:t>楼西南立</w:t>
            </w:r>
            <w:r>
              <w:rPr>
                <w:rFonts w:hint="eastAsia"/>
                <w:lang w:eastAsia="zh-CN"/>
              </w:rPr>
              <w:t>面</w:t>
            </w:r>
          </w:p>
          <w:p w14:paraId="31949771">
            <w:pPr>
              <w:widowControl w:val="0"/>
              <w:jc w:val="both"/>
              <w:rPr>
                <w:snapToGrid w:val="0"/>
              </w:rPr>
            </w:pPr>
          </w:p>
          <w:p w14:paraId="7EBCB8FC">
            <w:pPr>
              <w:widowControl w:val="0"/>
              <w:jc w:val="both"/>
              <w:rPr>
                <w:snapToGrid w:val="0"/>
              </w:rPr>
            </w:pPr>
          </w:p>
          <w:p w14:paraId="311E5DB4">
            <w:pPr>
              <w:widowControl w:val="0"/>
              <w:jc w:val="both"/>
              <w:rPr>
                <w:snapToGrid w:val="0"/>
              </w:rPr>
            </w:pPr>
          </w:p>
          <w:p w14:paraId="66644954">
            <w:pPr>
              <w:widowControl w:val="0"/>
              <w:jc w:val="both"/>
              <w:rPr>
                <w:rFonts w:hint="eastAsia" w:ascii="宋体" w:hAnsi="宋体" w:eastAsia="宋体" w:cs="宋体"/>
                <w:bCs/>
                <w:kern w:val="2"/>
                <w:sz w:val="21"/>
                <w:szCs w:val="24"/>
                <w:lang w:val="en-US" w:eastAsia="zh-CN" w:bidi="ar-SA"/>
              </w:rPr>
            </w:pPr>
            <w:r>
              <w:rPr>
                <w:rFonts w:hint="eastAsia"/>
              </w:rPr>
              <w:t>图</w:t>
            </w:r>
            <w:r>
              <w:t>2</w:t>
            </w:r>
            <w:r>
              <w:rPr>
                <w:rFonts w:hint="eastAsia"/>
              </w:rPr>
              <w:t>苍梧小学地下室</w:t>
            </w:r>
          </w:p>
        </w:tc>
      </w:tr>
      <w:tr w14:paraId="787E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3BA4EFA4">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4</w:t>
            </w:r>
          </w:p>
        </w:tc>
        <w:tc>
          <w:tcPr>
            <w:tcW w:w="1353" w:type="dxa"/>
            <w:shd w:val="clear" w:color="auto" w:fill="auto"/>
            <w:vAlign w:val="center"/>
          </w:tcPr>
          <w:p w14:paraId="49B60E20">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江苏苏港工程有限公司</w:t>
            </w:r>
          </w:p>
        </w:tc>
        <w:tc>
          <w:tcPr>
            <w:tcW w:w="1265" w:type="dxa"/>
            <w:shd w:val="clear" w:color="auto" w:fill="auto"/>
            <w:vAlign w:val="center"/>
          </w:tcPr>
          <w:p w14:paraId="0141A2AA">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赣榆高级中学新建综合楼项目(图文中心)</w:t>
            </w:r>
          </w:p>
        </w:tc>
        <w:tc>
          <w:tcPr>
            <w:tcW w:w="2176" w:type="dxa"/>
            <w:shd w:val="clear" w:color="auto" w:fill="auto"/>
            <w:vAlign w:val="center"/>
          </w:tcPr>
          <w:p w14:paraId="2A060B69">
            <w:pPr>
              <w:keepNext w:val="0"/>
              <w:keepLines w:val="0"/>
              <w:pageBreakBefore w:val="0"/>
              <w:widowControl w:val="0"/>
              <w:kinsoku/>
              <w:wordWrap/>
              <w:overflowPunct/>
              <w:topLinePunct w:val="0"/>
              <w:autoSpaceDE/>
              <w:autoSpaceDN/>
              <w:bidi w:val="0"/>
              <w:adjustRightInd/>
              <w:snapToGrid w:val="0"/>
              <w:spacing w:line="300" w:lineRule="exact"/>
              <w:ind w:firstLine="240" w:firstLineChars="100"/>
              <w:contextualSpacing/>
              <w:jc w:val="both"/>
              <w:textAlignment w:val="auto"/>
              <w:rPr>
                <w:rFonts w:ascii="宋体" w:hAnsi="宋体" w:cs="宋体"/>
                <w:sz w:val="24"/>
                <w:szCs w:val="24"/>
              </w:rPr>
            </w:pPr>
            <w:r>
              <w:rPr>
                <w:rFonts w:hint="eastAsia" w:ascii="宋体" w:hAnsi="宋体"/>
                <w:color w:val="000000"/>
                <w:kern w:val="0"/>
                <w:sz w:val="24"/>
                <w:szCs w:val="24"/>
              </w:rPr>
              <w:t>赣榆高级中学新建综合楼项目</w:t>
            </w:r>
            <w:r>
              <w:rPr>
                <w:rFonts w:hint="eastAsia" w:ascii="宋体" w:hAnsi="宋体"/>
                <w:color w:val="000000"/>
                <w:kern w:val="0"/>
                <w:sz w:val="24"/>
                <w:szCs w:val="24"/>
                <w:lang w:eastAsia="zh-CN"/>
              </w:rPr>
              <w:t>（图文中心）</w:t>
            </w:r>
            <w:r>
              <w:rPr>
                <w:rFonts w:hint="eastAsia" w:ascii="宋体" w:hAnsi="宋体"/>
                <w:color w:val="000000"/>
                <w:kern w:val="0"/>
                <w:sz w:val="24"/>
                <w:szCs w:val="24"/>
              </w:rPr>
              <w:t>位于江苏省赣榆高级中学院内。建设单位为江苏省赣榆高级中学，监理单位为连云港市建设监理有限公司，</w:t>
            </w:r>
            <w:r>
              <w:rPr>
                <w:rFonts w:hint="eastAsia" w:ascii="宋体" w:hAnsi="宋体" w:cs="宋体"/>
                <w:sz w:val="24"/>
                <w:szCs w:val="24"/>
              </w:rPr>
              <w:t>勘察单位为江苏华信勘测设计有限公司，设计单位为华设设计集团股份有限公司，施工单位为江苏苏港工程有限公司。</w:t>
            </w:r>
          </w:p>
          <w:p w14:paraId="404AECA8">
            <w:pPr>
              <w:keepNext w:val="0"/>
              <w:keepLines w:val="0"/>
              <w:pageBreakBefore w:val="0"/>
              <w:widowControl w:val="0"/>
              <w:kinsoku/>
              <w:wordWrap/>
              <w:overflowPunct/>
              <w:topLinePunct w:val="0"/>
              <w:autoSpaceDE/>
              <w:autoSpaceDN/>
              <w:bidi w:val="0"/>
              <w:adjustRightInd/>
              <w:snapToGrid w:val="0"/>
              <w:spacing w:line="300" w:lineRule="exact"/>
              <w:ind w:firstLine="240" w:firstLineChars="100"/>
              <w:contextualSpacing/>
              <w:jc w:val="both"/>
              <w:textAlignment w:val="auto"/>
              <w:rPr>
                <w:rFonts w:hint="eastAsia" w:ascii="Times New Roman" w:hAnsi="Times New Roman" w:eastAsia="宋体" w:cs="宋体"/>
                <w:bCs/>
                <w:iCs/>
                <w:kern w:val="2"/>
                <w:sz w:val="24"/>
                <w:szCs w:val="24"/>
                <w:lang w:val="en-US" w:eastAsia="zh-CN" w:bidi="ar-SA"/>
              </w:rPr>
            </w:pPr>
            <w:r>
              <w:rPr>
                <w:rFonts w:hint="eastAsia" w:ascii="宋体" w:hAnsi="宋体" w:eastAsia="宋体" w:cs="宋体"/>
                <w:color w:val="000000"/>
                <w:kern w:val="0"/>
                <w:sz w:val="24"/>
                <w:szCs w:val="24"/>
              </w:rPr>
              <w:t>本工程图文中心建筑面积16140m2，建筑总高度32.10米，地上7七层，地下1层。建筑结构形式为框架结构，设计使用年限为50年，抗震设防烈度为7度，屋面防水等级为I级。</w:t>
            </w:r>
          </w:p>
        </w:tc>
        <w:tc>
          <w:tcPr>
            <w:tcW w:w="1133" w:type="dxa"/>
            <w:shd w:val="clear" w:color="auto" w:fill="auto"/>
            <w:vAlign w:val="center"/>
          </w:tcPr>
          <w:p w14:paraId="275D6AE6">
            <w:pPr>
              <w:widowControl w:val="0"/>
              <w:rPr>
                <w:rFonts w:hint="eastAsia" w:ascii="Times New Roman" w:hAnsi="Times New Roman" w:eastAsia="宋体" w:cs="宋体"/>
                <w:kern w:val="0"/>
                <w:sz w:val="24"/>
                <w:lang w:val="en-US" w:eastAsia="zh-CN"/>
              </w:rPr>
            </w:pPr>
            <w:r>
              <w:rPr>
                <w:rFonts w:hint="eastAsia" w:ascii="Times New Roman" w:hAnsi="Times New Roman" w:eastAsia="宋体" w:cs="宋体"/>
                <w:kern w:val="0"/>
                <w:sz w:val="24"/>
                <w:lang w:val="en-US" w:eastAsia="zh-CN"/>
              </w:rPr>
              <w:t>2023年9月22日</w:t>
            </w:r>
          </w:p>
        </w:tc>
        <w:tc>
          <w:tcPr>
            <w:tcW w:w="1691" w:type="dxa"/>
            <w:shd w:val="clear" w:color="auto" w:fill="auto"/>
            <w:vAlign w:val="center"/>
          </w:tcPr>
          <w:p w14:paraId="1D7D9D40">
            <w:pPr>
              <w:pStyle w:val="4"/>
              <w:keepNext w:val="0"/>
              <w:keepLines w:val="0"/>
              <w:pageBreakBefore w:val="0"/>
              <w:widowControl w:val="0"/>
              <w:kinsoku/>
              <w:wordWrap/>
              <w:overflowPunct/>
              <w:topLinePunct w:val="0"/>
              <w:autoSpaceDE/>
              <w:autoSpaceDN/>
              <w:bidi w:val="0"/>
              <w:adjustRightInd w:val="0"/>
              <w:snapToGrid/>
              <w:spacing w:line="300" w:lineRule="exact"/>
              <w:ind w:left="0" w:leftChars="0" w:firstLine="240" w:firstLineChars="100"/>
              <w:jc w:val="both"/>
              <w:textAlignment w:val="auto"/>
              <w:rPr>
                <w:rFonts w:hint="eastAsia" w:ascii="宋体" w:hAnsi="宋体" w:eastAsia="宋体" w:cs="宋体"/>
                <w:sz w:val="24"/>
                <w:szCs w:val="24"/>
              </w:rPr>
            </w:pPr>
            <w:r>
              <w:rPr>
                <w:rFonts w:hint="eastAsia" w:cs="宋体"/>
                <w:sz w:val="24"/>
                <w:szCs w:val="24"/>
                <w:lang w:val="en-US" w:eastAsia="zh-CN"/>
              </w:rPr>
              <w:t>1、</w:t>
            </w:r>
            <w:r>
              <w:rPr>
                <w:rFonts w:hint="eastAsia" w:ascii="宋体" w:hAnsi="宋体" w:eastAsia="宋体" w:cs="宋体"/>
                <w:sz w:val="24"/>
                <w:szCs w:val="24"/>
              </w:rPr>
              <w:t>桩基工程采用静压桩。桩头连接均加设连接钢板，每方向均设置一块通长焊接。</w:t>
            </w:r>
          </w:p>
          <w:p w14:paraId="43267FB3">
            <w:pPr>
              <w:pStyle w:val="4"/>
              <w:keepNext w:val="0"/>
              <w:keepLines w:val="0"/>
              <w:pageBreakBefore w:val="0"/>
              <w:widowControl w:val="0"/>
              <w:kinsoku/>
              <w:wordWrap/>
              <w:overflowPunct/>
              <w:topLinePunct w:val="0"/>
              <w:autoSpaceDE/>
              <w:autoSpaceDN/>
              <w:bidi w:val="0"/>
              <w:adjustRightInd w:val="0"/>
              <w:snapToGrid/>
              <w:spacing w:line="300" w:lineRule="exact"/>
              <w:ind w:left="0" w:leftChars="0" w:firstLine="240" w:firstLineChars="100"/>
              <w:jc w:val="both"/>
              <w:textAlignment w:val="auto"/>
              <w:rPr>
                <w:rFonts w:hint="eastAsia" w:ascii="宋体" w:hAnsi="宋体" w:eastAsia="宋体" w:cs="宋体"/>
                <w:sz w:val="24"/>
                <w:szCs w:val="24"/>
              </w:rPr>
            </w:pPr>
            <w:r>
              <w:rPr>
                <w:rFonts w:hint="eastAsia" w:cs="宋体"/>
                <w:sz w:val="24"/>
                <w:szCs w:val="24"/>
                <w:lang w:val="en-US" w:eastAsia="zh-CN"/>
              </w:rPr>
              <w:t>2、</w:t>
            </w:r>
            <w:r>
              <w:rPr>
                <w:rFonts w:hint="eastAsia" w:ascii="宋体" w:hAnsi="宋体" w:eastAsia="宋体" w:cs="宋体"/>
                <w:sz w:val="24"/>
                <w:szCs w:val="24"/>
              </w:rPr>
              <w:t>钢筋直螺纹切割时进行质量控制，对不均匀部位进行打磨。丝扣数量符合规范要求。</w:t>
            </w:r>
          </w:p>
          <w:p w14:paraId="67C76486">
            <w:pPr>
              <w:pStyle w:val="4"/>
              <w:keepNext w:val="0"/>
              <w:keepLines w:val="0"/>
              <w:pageBreakBefore w:val="0"/>
              <w:widowControl w:val="0"/>
              <w:kinsoku/>
              <w:wordWrap/>
              <w:overflowPunct/>
              <w:topLinePunct w:val="0"/>
              <w:autoSpaceDE/>
              <w:autoSpaceDN/>
              <w:bidi w:val="0"/>
              <w:adjustRightInd w:val="0"/>
              <w:snapToGrid/>
              <w:spacing w:line="300" w:lineRule="exact"/>
              <w:ind w:left="0" w:leftChars="0" w:firstLine="240" w:firstLineChars="100"/>
              <w:jc w:val="both"/>
              <w:textAlignment w:val="auto"/>
              <w:rPr>
                <w:rFonts w:hint="eastAsia" w:ascii="宋体" w:hAnsi="宋体" w:eastAsia="宋体" w:cs="宋体"/>
                <w:sz w:val="24"/>
                <w:szCs w:val="24"/>
              </w:rPr>
            </w:pPr>
            <w:r>
              <w:rPr>
                <w:rFonts w:hint="eastAsia" w:cs="宋体"/>
                <w:sz w:val="24"/>
                <w:szCs w:val="24"/>
                <w:lang w:val="en-US" w:eastAsia="zh-CN"/>
              </w:rPr>
              <w:t>3、</w:t>
            </w:r>
            <w:r>
              <w:rPr>
                <w:rFonts w:hint="eastAsia" w:ascii="宋体" w:hAnsi="宋体" w:eastAsia="宋体" w:cs="宋体"/>
                <w:sz w:val="24"/>
                <w:szCs w:val="24"/>
              </w:rPr>
              <w:t>现场模板支架和外脚手架采用盘扣式支架由立杆、横杆和斜拉杆组成的支撑体系，稳定性好，轻质高强。架体的承载能力高。架体连接形式均采用圆盘形扣盘与卡钳型楔销锁紧固定。安装速度快，精度高。</w:t>
            </w:r>
          </w:p>
          <w:p w14:paraId="17AD2523">
            <w:pPr>
              <w:pStyle w:val="4"/>
              <w:keepNext w:val="0"/>
              <w:keepLines w:val="0"/>
              <w:pageBreakBefore w:val="0"/>
              <w:widowControl w:val="0"/>
              <w:kinsoku/>
              <w:wordWrap/>
              <w:overflowPunct/>
              <w:topLinePunct w:val="0"/>
              <w:autoSpaceDE/>
              <w:autoSpaceDN/>
              <w:bidi w:val="0"/>
              <w:adjustRightInd w:val="0"/>
              <w:snapToGrid/>
              <w:spacing w:line="300" w:lineRule="exact"/>
              <w:ind w:left="0" w:leftChars="0" w:firstLine="240" w:firstLineChars="100"/>
              <w:jc w:val="both"/>
              <w:textAlignment w:val="auto"/>
              <w:rPr>
                <w:rFonts w:hint="eastAsia" w:ascii="Times New Roman" w:hAnsi="Times New Roman" w:eastAsia="宋体" w:cs="宋体"/>
                <w:bCs/>
                <w:snapToGrid w:val="0"/>
                <w:kern w:val="0"/>
                <w:sz w:val="24"/>
                <w:szCs w:val="24"/>
                <w:lang w:val="en-US" w:eastAsia="zh-CN" w:bidi="ar-SA"/>
              </w:rPr>
            </w:pPr>
            <w:r>
              <w:rPr>
                <w:rFonts w:hint="eastAsia" w:cs="宋体"/>
                <w:sz w:val="24"/>
                <w:szCs w:val="24"/>
                <w:lang w:val="en-US" w:eastAsia="zh-CN"/>
              </w:rPr>
              <w:t>4、</w:t>
            </w:r>
            <w:r>
              <w:rPr>
                <w:rFonts w:hint="eastAsia" w:ascii="宋体" w:hAnsi="宋体" w:eastAsia="宋体" w:cs="宋体"/>
                <w:sz w:val="24"/>
                <w:szCs w:val="24"/>
              </w:rPr>
              <w:t>大截面柱子加固采用定型加固件加工，避免使用对拉螺栓，异形柱采用定型化模板配合加固件有效控制框架柱尺寸，保证混凝土质量。</w:t>
            </w:r>
          </w:p>
        </w:tc>
        <w:tc>
          <w:tcPr>
            <w:tcW w:w="1852" w:type="dxa"/>
            <w:shd w:val="clear" w:color="auto" w:fill="auto"/>
            <w:vAlign w:val="center"/>
          </w:tcPr>
          <w:p w14:paraId="7BC173CA">
            <w:pPr>
              <w:widowControl w:val="0"/>
              <w:ind w:firstLine="240" w:firstLineChars="10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1、荣获2023年度</w:t>
            </w:r>
            <w:r>
              <w:rPr>
                <w:rFonts w:hint="eastAsia" w:ascii="宋体" w:hAnsi="宋体" w:eastAsia="宋体" w:cs="宋体"/>
                <w:sz w:val="24"/>
                <w:szCs w:val="24"/>
              </w:rPr>
              <w:t>连云港市优质结构工程</w:t>
            </w:r>
            <w:r>
              <w:rPr>
                <w:rFonts w:hint="eastAsia" w:ascii="宋体" w:hAnsi="宋体" w:eastAsia="宋体" w:cs="宋体"/>
                <w:sz w:val="24"/>
                <w:szCs w:val="24"/>
                <w:lang w:eastAsia="zh-CN"/>
              </w:rPr>
              <w:t>；</w:t>
            </w:r>
          </w:p>
          <w:p w14:paraId="1C19E3CD">
            <w:pPr>
              <w:widowControl w:val="0"/>
              <w:ind w:firstLine="240" w:firstLineChars="10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连云港市</w:t>
            </w:r>
            <w:r>
              <w:rPr>
                <w:rFonts w:hint="eastAsia" w:ascii="宋体" w:hAnsi="宋体" w:eastAsia="宋体" w:cs="宋体"/>
                <w:sz w:val="24"/>
                <w:szCs w:val="24"/>
                <w:lang w:val="en-US" w:eastAsia="zh-CN"/>
              </w:rPr>
              <w:t>2022年度上半年</w:t>
            </w:r>
            <w:r>
              <w:rPr>
                <w:rFonts w:hint="eastAsia" w:ascii="宋体" w:hAnsi="宋体" w:eastAsia="宋体" w:cs="宋体"/>
                <w:sz w:val="24"/>
                <w:szCs w:val="24"/>
              </w:rPr>
              <w:t>建筑施工标准化文明示范工地</w:t>
            </w:r>
            <w:r>
              <w:rPr>
                <w:rFonts w:hint="eastAsia" w:ascii="宋体" w:hAnsi="宋体" w:eastAsia="宋体" w:cs="宋体"/>
                <w:sz w:val="24"/>
                <w:szCs w:val="24"/>
                <w:lang w:eastAsia="zh-CN"/>
              </w:rPr>
              <w:t>；</w:t>
            </w:r>
          </w:p>
          <w:p w14:paraId="6F2F8C5E">
            <w:pPr>
              <w:widowControl w:val="0"/>
              <w:ind w:firstLine="240" w:firstLineChars="10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3、2022年上半年</w:t>
            </w:r>
            <w:r>
              <w:rPr>
                <w:rFonts w:hint="eastAsia" w:ascii="宋体" w:hAnsi="宋体" w:eastAsia="宋体" w:cs="宋体"/>
                <w:sz w:val="24"/>
                <w:szCs w:val="24"/>
              </w:rPr>
              <w:t>江苏省建筑施工标准化星级工地（</w:t>
            </w:r>
            <w:r>
              <w:rPr>
                <w:rFonts w:hint="eastAsia" w:ascii="宋体" w:hAnsi="宋体" w:eastAsia="宋体" w:cs="宋体"/>
                <w:sz w:val="24"/>
                <w:szCs w:val="24"/>
                <w:lang w:eastAsia="zh-CN"/>
              </w:rPr>
              <w:t>等级：★★★</w:t>
            </w:r>
            <w:r>
              <w:rPr>
                <w:rFonts w:hint="eastAsia" w:ascii="宋体" w:hAnsi="宋体" w:eastAsia="宋体" w:cs="宋体"/>
                <w:sz w:val="24"/>
                <w:szCs w:val="24"/>
              </w:rPr>
              <w:t>）</w:t>
            </w:r>
            <w:r>
              <w:rPr>
                <w:rFonts w:hint="eastAsia" w:ascii="宋体" w:hAnsi="宋体" w:eastAsia="宋体" w:cs="宋体"/>
                <w:sz w:val="24"/>
                <w:szCs w:val="24"/>
                <w:lang w:eastAsia="zh-CN"/>
              </w:rPr>
              <w:t>；</w:t>
            </w:r>
          </w:p>
          <w:p w14:paraId="3AA1280B">
            <w:pPr>
              <w:widowControl w:val="0"/>
              <w:numPr>
                <w:ilvl w:val="0"/>
                <w:numId w:val="1"/>
              </w:numPr>
              <w:ind w:firstLine="240" w:firstLineChars="100"/>
              <w:jc w:val="both"/>
              <w:rPr>
                <w:rFonts w:hint="eastAsia" w:ascii="宋体" w:hAnsi="宋体" w:eastAsia="宋体" w:cs="宋体"/>
                <w:sz w:val="24"/>
                <w:szCs w:val="24"/>
              </w:rPr>
            </w:pPr>
            <w:r>
              <w:rPr>
                <w:rFonts w:hint="eastAsia" w:ascii="宋体" w:hAnsi="宋体" w:eastAsia="宋体" w:cs="宋体"/>
                <w:sz w:val="24"/>
                <w:szCs w:val="24"/>
                <w:lang w:val="en-US" w:eastAsia="zh-CN"/>
              </w:rPr>
              <w:t>2022年度</w:t>
            </w:r>
            <w:r>
              <w:rPr>
                <w:rFonts w:hint="eastAsia" w:ascii="宋体" w:hAnsi="宋体" w:eastAsia="宋体" w:cs="宋体"/>
                <w:sz w:val="24"/>
                <w:szCs w:val="24"/>
              </w:rPr>
              <w:t>江苏省建筑业绿色施工示范工程</w:t>
            </w:r>
            <w:r>
              <w:rPr>
                <w:rFonts w:hint="eastAsia" w:ascii="宋体" w:hAnsi="宋体" w:eastAsia="宋体" w:cs="宋体"/>
                <w:sz w:val="24"/>
                <w:szCs w:val="24"/>
                <w:lang w:eastAsia="zh-CN"/>
              </w:rPr>
              <w:t>；</w:t>
            </w:r>
          </w:p>
          <w:p w14:paraId="591D18BC">
            <w:pPr>
              <w:widowControl w:val="0"/>
              <w:numPr>
                <w:ilvl w:val="0"/>
                <w:numId w:val="0"/>
              </w:numPr>
              <w:ind w:firstLine="240" w:firstLineChars="100"/>
              <w:jc w:val="both"/>
              <w:rPr>
                <w:rFonts w:hint="eastAsia" w:ascii="宋体" w:hAnsi="宋体" w:eastAsia="宋体" w:cs="宋体"/>
                <w:snapToGrid w:val="0"/>
                <w:kern w:val="0"/>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t>华东地区建筑施工安全生产标准化工地等</w:t>
            </w:r>
            <w:r>
              <w:rPr>
                <w:rFonts w:hint="eastAsia" w:ascii="宋体" w:hAnsi="宋体" w:eastAsia="宋体" w:cs="宋体"/>
                <w:snapToGrid w:val="0"/>
                <w:kern w:val="0"/>
                <w:sz w:val="24"/>
                <w:szCs w:val="24"/>
                <w:lang w:val="en-US" w:eastAsia="zh-CN"/>
              </w:rPr>
              <w:t>荣誉；</w:t>
            </w:r>
          </w:p>
          <w:p w14:paraId="58E5F456">
            <w:pPr>
              <w:widowControl w:val="0"/>
              <w:ind w:firstLine="240" w:firstLineChars="100"/>
              <w:jc w:val="both"/>
              <w:rPr>
                <w:rFonts w:hint="eastAsia" w:ascii="Times New Roman" w:hAnsi="Times New Roman" w:eastAsia="宋体" w:cs="宋体"/>
                <w:bCs/>
                <w:kern w:val="0"/>
                <w:sz w:val="24"/>
                <w:szCs w:val="24"/>
                <w:lang w:val="en-US" w:eastAsia="zh-CN" w:bidi="ar-SA"/>
              </w:rPr>
            </w:pPr>
            <w:r>
              <w:rPr>
                <w:rFonts w:hint="eastAsia" w:ascii="宋体" w:hAnsi="宋体" w:eastAsia="宋体" w:cs="宋体"/>
                <w:snapToGrid w:val="0"/>
                <w:kern w:val="0"/>
                <w:sz w:val="24"/>
                <w:szCs w:val="24"/>
                <w:lang w:val="en-US" w:eastAsia="zh-CN"/>
              </w:rPr>
              <w:t>6、作为主场馆，圆满完成百年校庆各项任务。</w:t>
            </w:r>
          </w:p>
        </w:tc>
        <w:tc>
          <w:tcPr>
            <w:tcW w:w="2127" w:type="dxa"/>
            <w:shd w:val="clear" w:color="auto" w:fill="auto"/>
            <w:vAlign w:val="center"/>
          </w:tcPr>
          <w:p w14:paraId="0DB64F8C">
            <w:pPr>
              <w:widowControl w:val="0"/>
              <w:rPr>
                <w:rFonts w:hint="eastAsia" w:ascii="Times New Roman" w:hAnsi="Times New Roman" w:eastAsia="宋体" w:cs="宋体"/>
                <w:bCs/>
                <w:kern w:val="0"/>
                <w:sz w:val="24"/>
                <w:szCs w:val="24"/>
                <w:lang w:val="en-US" w:eastAsia="zh-CN" w:bidi="ar-SA"/>
              </w:rPr>
            </w:pPr>
            <w:r>
              <w:rPr>
                <w:rFonts w:hint="eastAsia" w:eastAsia="宋体"/>
                <w:kern w:val="0"/>
                <w:lang w:eastAsia="zh-CN"/>
              </w:rPr>
              <w:drawing>
                <wp:inline distT="0" distB="0" distL="114300" distR="114300">
                  <wp:extent cx="1148715" cy="784860"/>
                  <wp:effectExtent l="0" t="0" r="13335" b="15240"/>
                  <wp:docPr id="45" name="图片 45" descr="09e55308cef116ca06d3a5c03ea27c19"/>
                  <wp:cNvGraphicFramePr/>
                  <a:graphic xmlns:a="http://schemas.openxmlformats.org/drawingml/2006/main">
                    <a:graphicData uri="http://schemas.openxmlformats.org/drawingml/2006/picture">
                      <pic:pic xmlns:pic="http://schemas.openxmlformats.org/drawingml/2006/picture">
                        <pic:nvPicPr>
                          <pic:cNvPr id="45" name="图片 45" descr="09e55308cef116ca06d3a5c03ea27c19"/>
                          <pic:cNvPicPr/>
                        </pic:nvPicPr>
                        <pic:blipFill>
                          <a:blip r:embed="rId10"/>
                          <a:stretch>
                            <a:fillRect/>
                          </a:stretch>
                        </pic:blipFill>
                        <pic:spPr>
                          <a:xfrm>
                            <a:off x="0" y="0"/>
                            <a:ext cx="1148715" cy="784860"/>
                          </a:xfrm>
                          <a:prstGeom prst="rect">
                            <a:avLst/>
                          </a:prstGeom>
                        </pic:spPr>
                      </pic:pic>
                    </a:graphicData>
                  </a:graphic>
                </wp:inline>
              </w:drawing>
            </w:r>
            <w:r>
              <w:drawing>
                <wp:inline distT="0" distB="0" distL="114300" distR="114300">
                  <wp:extent cx="1148715" cy="784860"/>
                  <wp:effectExtent l="0" t="0" r="13335" b="15240"/>
                  <wp:docPr id="46" name="图片 1"/>
                  <wp:cNvGraphicFramePr/>
                  <a:graphic xmlns:a="http://schemas.openxmlformats.org/drawingml/2006/main">
                    <a:graphicData uri="http://schemas.openxmlformats.org/drawingml/2006/picture">
                      <pic:pic xmlns:pic="http://schemas.openxmlformats.org/drawingml/2006/picture">
                        <pic:nvPicPr>
                          <pic:cNvPr id="46" name="图片 1"/>
                          <pic:cNvPicPr/>
                        </pic:nvPicPr>
                        <pic:blipFill>
                          <a:blip r:embed="rId11"/>
                          <a:stretch>
                            <a:fillRect/>
                          </a:stretch>
                        </pic:blipFill>
                        <pic:spPr>
                          <a:xfrm>
                            <a:off x="0" y="0"/>
                            <a:ext cx="1148715" cy="784860"/>
                          </a:xfrm>
                          <a:prstGeom prst="rect">
                            <a:avLst/>
                          </a:prstGeom>
                          <a:noFill/>
                          <a:ln>
                            <a:noFill/>
                          </a:ln>
                        </pic:spPr>
                      </pic:pic>
                    </a:graphicData>
                  </a:graphic>
                </wp:inline>
              </w:drawing>
            </w:r>
          </w:p>
        </w:tc>
        <w:tc>
          <w:tcPr>
            <w:tcW w:w="1897" w:type="dxa"/>
            <w:shd w:val="clear" w:color="auto" w:fill="auto"/>
            <w:vAlign w:val="center"/>
          </w:tcPr>
          <w:p w14:paraId="2A6F8E38">
            <w:pPr>
              <w:widowControl w:val="0"/>
              <w:jc w:val="both"/>
              <w:rPr>
                <w:rFonts w:hint="default" w:ascii="Times New Roman" w:hAnsi="Times New Roman" w:eastAsia="宋体"/>
                <w:snapToGrid w:val="0"/>
                <w:kern w:val="0"/>
                <w:sz w:val="24"/>
                <w:lang w:val="en-US" w:eastAsia="zh-CN"/>
              </w:rPr>
            </w:pPr>
            <w:r>
              <w:rPr>
                <w:rFonts w:hint="eastAsia" w:ascii="Times New Roman" w:hAnsi="Times New Roman"/>
                <w:sz w:val="24"/>
              </w:rPr>
              <w:t>图1：</w:t>
            </w:r>
            <w:r>
              <w:rPr>
                <w:rFonts w:hint="eastAsia" w:ascii="Times New Roman" w:hAnsi="Times New Roman"/>
                <w:sz w:val="24"/>
                <w:lang w:val="en-US" w:eastAsia="zh-CN"/>
              </w:rPr>
              <w:t>图文中心南立面</w:t>
            </w:r>
          </w:p>
          <w:p w14:paraId="610D5E3B">
            <w:pPr>
              <w:widowControl w:val="0"/>
              <w:jc w:val="both"/>
              <w:rPr>
                <w:rFonts w:ascii="Times New Roman" w:hAnsi="Times New Roman"/>
                <w:snapToGrid w:val="0"/>
                <w:kern w:val="0"/>
                <w:sz w:val="24"/>
              </w:rPr>
            </w:pPr>
          </w:p>
          <w:p w14:paraId="05535368">
            <w:pPr>
              <w:widowControl w:val="0"/>
              <w:jc w:val="both"/>
              <w:rPr>
                <w:rFonts w:ascii="Times New Roman" w:hAnsi="Times New Roman"/>
                <w:snapToGrid w:val="0"/>
                <w:kern w:val="0"/>
                <w:sz w:val="24"/>
              </w:rPr>
            </w:pPr>
          </w:p>
          <w:p w14:paraId="38D3304A">
            <w:pPr>
              <w:widowControl w:val="0"/>
              <w:jc w:val="both"/>
              <w:rPr>
                <w:rFonts w:hint="default" w:ascii="Times New Roman" w:hAnsi="Times New Roman" w:eastAsia="宋体"/>
                <w:sz w:val="24"/>
                <w:lang w:val="en-US" w:eastAsia="zh-CN"/>
              </w:rPr>
            </w:pPr>
            <w:r>
              <w:rPr>
                <w:rFonts w:hint="eastAsia" w:ascii="Times New Roman" w:hAnsi="Times New Roman"/>
                <w:sz w:val="24"/>
              </w:rPr>
              <w:t>图2：</w:t>
            </w:r>
            <w:r>
              <w:rPr>
                <w:rFonts w:hint="eastAsia" w:ascii="Times New Roman" w:hAnsi="Times New Roman"/>
                <w:sz w:val="24"/>
                <w:lang w:val="en-US" w:eastAsia="zh-CN"/>
              </w:rPr>
              <w:t>综合楼项目鸟瞰看</w:t>
            </w:r>
          </w:p>
          <w:p w14:paraId="772BE71C">
            <w:pPr>
              <w:widowControl w:val="0"/>
              <w:jc w:val="both"/>
              <w:rPr>
                <w:rFonts w:hint="eastAsia" w:ascii="Times New Roman" w:hAnsi="Times New Roman" w:eastAsia="宋体" w:cs="宋体"/>
                <w:bCs/>
                <w:kern w:val="0"/>
                <w:sz w:val="24"/>
                <w:szCs w:val="24"/>
                <w:lang w:val="en-US" w:eastAsia="zh-CN" w:bidi="ar-SA"/>
              </w:rPr>
            </w:pPr>
          </w:p>
        </w:tc>
      </w:tr>
      <w:tr w14:paraId="60F5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294A7079">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5</w:t>
            </w:r>
          </w:p>
        </w:tc>
        <w:tc>
          <w:tcPr>
            <w:tcW w:w="1353" w:type="dxa"/>
            <w:shd w:val="clear" w:color="auto" w:fill="auto"/>
            <w:vAlign w:val="center"/>
          </w:tcPr>
          <w:p w14:paraId="79390C0C">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通州建总集团有限公司</w:t>
            </w:r>
          </w:p>
        </w:tc>
        <w:tc>
          <w:tcPr>
            <w:tcW w:w="1265" w:type="dxa"/>
            <w:shd w:val="clear" w:color="auto" w:fill="auto"/>
            <w:vAlign w:val="center"/>
          </w:tcPr>
          <w:p w14:paraId="128B7787">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港利投资集团商务中心</w:t>
            </w:r>
          </w:p>
        </w:tc>
        <w:tc>
          <w:tcPr>
            <w:tcW w:w="2176" w:type="dxa"/>
            <w:shd w:val="clear" w:color="auto" w:fill="auto"/>
            <w:vAlign w:val="center"/>
          </w:tcPr>
          <w:p w14:paraId="40463247">
            <w:pPr>
              <w:widowControl w:val="0"/>
              <w:jc w:val="left"/>
              <w:rPr>
                <w:rFonts w:hint="eastAsia" w:ascii="Times New Roman" w:hAnsi="Times New Roman" w:eastAsia="宋体" w:cs="宋体"/>
                <w:snapToGrid w:val="0"/>
                <w:kern w:val="0"/>
                <w:sz w:val="24"/>
                <w:lang w:val="en-US" w:eastAsia="zh-CN"/>
              </w:rPr>
            </w:pPr>
            <w:r>
              <w:rPr>
                <w:rFonts w:hint="eastAsia" w:ascii="Times New Roman" w:hAnsi="Times New Roman" w:eastAsia="宋体" w:cs="宋体"/>
                <w:snapToGrid w:val="0"/>
                <w:kern w:val="0"/>
                <w:sz w:val="24"/>
                <w:lang w:val="en-US" w:eastAsia="zh-CN"/>
              </w:rPr>
              <w:t>工程位于连云港市玉兰路南侧、花果山大道西；总建筑面积41916.92㎡，其中地上30872.2㎡，地下11044.7㎡（其中人防3549.27㎡），地下一层，地上21层；</w:t>
            </w:r>
          </w:p>
          <w:p w14:paraId="74E4C46A">
            <w:pPr>
              <w:widowControl w:val="0"/>
              <w:jc w:val="left"/>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eastAsia="宋体" w:cs="宋体"/>
                <w:snapToGrid w:val="0"/>
                <w:kern w:val="0"/>
                <w:sz w:val="24"/>
                <w:lang w:val="en-US" w:eastAsia="zh-CN"/>
              </w:rPr>
              <w:t>结构形式为框架剪力墙结构</w:t>
            </w:r>
          </w:p>
        </w:tc>
        <w:tc>
          <w:tcPr>
            <w:tcW w:w="1133" w:type="dxa"/>
            <w:shd w:val="clear" w:color="auto" w:fill="auto"/>
            <w:vAlign w:val="center"/>
          </w:tcPr>
          <w:p w14:paraId="2597798A">
            <w:pPr>
              <w:widowControl w:val="0"/>
              <w:rPr>
                <w:rFonts w:hint="eastAsia" w:ascii="Times New Roman" w:hAnsi="Times New Roman" w:eastAsia="宋体" w:cs="宋体"/>
                <w:kern w:val="0"/>
                <w:sz w:val="24"/>
                <w:lang w:val="en-US" w:eastAsia="zh-CN"/>
              </w:rPr>
            </w:pPr>
            <w:r>
              <w:rPr>
                <w:rFonts w:hint="eastAsia" w:ascii="Times New Roman" w:hAnsi="Times New Roman" w:eastAsia="宋体" w:cs="宋体"/>
                <w:kern w:val="0"/>
                <w:sz w:val="24"/>
                <w:lang w:val="en-US" w:eastAsia="zh-CN"/>
              </w:rPr>
              <w:t>2023年10月17日</w:t>
            </w:r>
          </w:p>
        </w:tc>
        <w:tc>
          <w:tcPr>
            <w:tcW w:w="1691" w:type="dxa"/>
            <w:shd w:val="clear" w:color="auto" w:fill="auto"/>
            <w:vAlign w:val="center"/>
          </w:tcPr>
          <w:p w14:paraId="0F3EB77D">
            <w:pPr>
              <w:widowControl w:val="0"/>
              <w:jc w:val="left"/>
              <w:rPr>
                <w:rFonts w:hint="eastAsia" w:ascii="Times New Roman" w:hAnsi="Times New Roman" w:eastAsia="宋体" w:cs="宋体"/>
                <w:snapToGrid w:val="0"/>
                <w:kern w:val="0"/>
                <w:sz w:val="24"/>
                <w:lang w:val="en-US" w:eastAsia="zh-CN"/>
              </w:rPr>
            </w:pPr>
            <w:r>
              <w:rPr>
                <w:rFonts w:hint="eastAsia" w:ascii="Times New Roman" w:hAnsi="Times New Roman" w:eastAsia="宋体" w:cs="宋体"/>
                <w:snapToGrid w:val="0"/>
                <w:kern w:val="0"/>
                <w:sz w:val="24"/>
                <w:lang w:val="en-US" w:eastAsia="zh-CN"/>
              </w:rPr>
              <w:t>1、</w:t>
            </w:r>
            <w:r>
              <w:rPr>
                <w:rFonts w:hint="default" w:ascii="Times New Roman" w:hAnsi="Times New Roman" w:eastAsia="宋体" w:cs="宋体"/>
                <w:snapToGrid w:val="0"/>
                <w:kern w:val="0"/>
                <w:sz w:val="24"/>
                <w:lang w:val="en-US" w:eastAsia="zh-CN"/>
              </w:rPr>
              <w:t>消防栓、自动喷淋系统、火灾报警及联动系统装置设备安装位置合理，标识清晰完整，管道安装横平竖直，固定牢靠</w:t>
            </w:r>
            <w:r>
              <w:rPr>
                <w:rFonts w:hint="eastAsia" w:ascii="Times New Roman" w:hAnsi="Times New Roman" w:eastAsia="宋体" w:cs="宋体"/>
                <w:snapToGrid w:val="0"/>
                <w:kern w:val="0"/>
                <w:sz w:val="24"/>
                <w:lang w:val="en-US" w:eastAsia="zh-CN"/>
              </w:rPr>
              <w:t>，系统调试一次达标；</w:t>
            </w:r>
          </w:p>
          <w:p w14:paraId="5F59F442">
            <w:pPr>
              <w:widowControl w:val="0"/>
              <w:jc w:val="left"/>
              <w:rPr>
                <w:rFonts w:hint="default" w:ascii="Times New Roman" w:hAnsi="Times New Roman" w:eastAsia="宋体" w:cs="宋体"/>
                <w:snapToGrid w:val="0"/>
                <w:kern w:val="0"/>
                <w:sz w:val="24"/>
                <w:lang w:val="en-US" w:eastAsia="zh-CN"/>
              </w:rPr>
            </w:pPr>
            <w:r>
              <w:rPr>
                <w:rFonts w:hint="eastAsia" w:ascii="Times New Roman" w:hAnsi="Times New Roman" w:eastAsia="宋体" w:cs="宋体"/>
                <w:snapToGrid w:val="0"/>
                <w:kern w:val="0"/>
                <w:sz w:val="24"/>
                <w:lang w:val="en-US" w:eastAsia="zh-CN"/>
              </w:rPr>
              <w:t>2、</w:t>
            </w:r>
            <w:r>
              <w:rPr>
                <w:rFonts w:hint="default" w:ascii="Times New Roman" w:hAnsi="Times New Roman" w:eastAsia="宋体" w:cs="宋体"/>
                <w:snapToGrid w:val="0"/>
                <w:kern w:val="0"/>
                <w:sz w:val="24"/>
                <w:lang w:val="en-US" w:eastAsia="zh-CN"/>
              </w:rPr>
              <w:t>桥架安装横平竖直，箱、柜接线正确、线路绑扎整齐、编号明确、标识正确；灯具运行正常，</w:t>
            </w:r>
            <w:r>
              <w:rPr>
                <w:rFonts w:hint="eastAsia" w:ascii="Times New Roman" w:hAnsi="Times New Roman" w:eastAsia="宋体" w:cs="宋体"/>
                <w:snapToGrid w:val="0"/>
                <w:kern w:val="0"/>
                <w:sz w:val="24"/>
                <w:lang w:val="en-US" w:eastAsia="zh-CN"/>
              </w:rPr>
              <w:t>操作安全</w:t>
            </w:r>
          </w:p>
          <w:p w14:paraId="1A7CFB01">
            <w:pPr>
              <w:widowControl w:val="0"/>
              <w:jc w:val="left"/>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eastAsia="宋体" w:cs="宋体"/>
                <w:snapToGrid w:val="0"/>
                <w:kern w:val="0"/>
                <w:sz w:val="24"/>
                <w:lang w:val="en-US" w:eastAsia="zh-CN"/>
              </w:rPr>
              <w:t>3、外立面幕墙排版规整、分格均匀，横竖缝宽窄一致、胶缝饱满；玻璃安装平整牢固，外观色泽均匀，整体外立面观感大气美观</w:t>
            </w:r>
          </w:p>
        </w:tc>
        <w:tc>
          <w:tcPr>
            <w:tcW w:w="1852" w:type="dxa"/>
            <w:shd w:val="clear" w:color="auto" w:fill="auto"/>
            <w:vAlign w:val="center"/>
          </w:tcPr>
          <w:p w14:paraId="09FD7BD6">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1、机电、电气系统安装质量稳定，长期运行零故障，满足商务建筑高效、安全、节能的长期使用需求；</w:t>
            </w:r>
          </w:p>
          <w:p w14:paraId="5DCC7372">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2、施工阶段落实扬尘管控、降噪减污、节材节能措施，获评市级文明工地，兼具经济效益、社会效益与环境效益</w:t>
            </w:r>
          </w:p>
          <w:p w14:paraId="5BC02D21">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3、项目高标准通过竣工验收，实体质量、安全性能、使用功能均达先进水平</w:t>
            </w:r>
          </w:p>
        </w:tc>
        <w:tc>
          <w:tcPr>
            <w:tcW w:w="2127" w:type="dxa"/>
            <w:shd w:val="clear" w:color="auto" w:fill="auto"/>
            <w:vAlign w:val="center"/>
          </w:tcPr>
          <w:p w14:paraId="55BA7564">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eastAsia="宋体"/>
                <w:kern w:val="0"/>
                <w:sz w:val="24"/>
                <w:lang w:eastAsia="zh-CN"/>
              </w:rPr>
              <w:drawing>
                <wp:inline distT="0" distB="0" distL="114300" distR="114300">
                  <wp:extent cx="1148715" cy="784860"/>
                  <wp:effectExtent l="0" t="0" r="13335" b="15240"/>
                  <wp:docPr id="47" name="图片 47" descr="DJI_20260427143720_0737_D"/>
                  <wp:cNvGraphicFramePr/>
                  <a:graphic xmlns:a="http://schemas.openxmlformats.org/drawingml/2006/main">
                    <a:graphicData uri="http://schemas.openxmlformats.org/drawingml/2006/picture">
                      <pic:pic xmlns:pic="http://schemas.openxmlformats.org/drawingml/2006/picture">
                        <pic:nvPicPr>
                          <pic:cNvPr id="47" name="图片 47" descr="DJI_20260427143720_0737_D"/>
                          <pic:cNvPicPr/>
                        </pic:nvPicPr>
                        <pic:blipFill>
                          <a:blip r:embed="rId12"/>
                          <a:stretch>
                            <a:fillRect/>
                          </a:stretch>
                        </pic:blipFill>
                        <pic:spPr>
                          <a:xfrm>
                            <a:off x="0" y="0"/>
                            <a:ext cx="1148715" cy="784860"/>
                          </a:xfrm>
                          <a:prstGeom prst="rect">
                            <a:avLst/>
                          </a:prstGeom>
                        </pic:spPr>
                      </pic:pic>
                    </a:graphicData>
                  </a:graphic>
                </wp:inline>
              </w:drawing>
            </w:r>
            <w:r>
              <w:rPr>
                <w:rFonts w:hint="eastAsia" w:ascii="Times New Roman" w:hAnsi="Times New Roman" w:eastAsia="宋体"/>
                <w:kern w:val="0"/>
                <w:sz w:val="24"/>
                <w:lang w:eastAsia="zh-CN"/>
              </w:rPr>
              <w:drawing>
                <wp:inline distT="0" distB="0" distL="114300" distR="114300">
                  <wp:extent cx="1148715" cy="784860"/>
                  <wp:effectExtent l="0" t="0" r="13335" b="15240"/>
                  <wp:docPr id="48" name="图片 48" descr="微信图片_20260421110353_505_214"/>
                  <wp:cNvGraphicFramePr/>
                  <a:graphic xmlns:a="http://schemas.openxmlformats.org/drawingml/2006/main">
                    <a:graphicData uri="http://schemas.openxmlformats.org/drawingml/2006/picture">
                      <pic:pic xmlns:pic="http://schemas.openxmlformats.org/drawingml/2006/picture">
                        <pic:nvPicPr>
                          <pic:cNvPr id="48" name="图片 48" descr="微信图片_20260421110353_505_214"/>
                          <pic:cNvPicPr/>
                        </pic:nvPicPr>
                        <pic:blipFill>
                          <a:blip r:embed="rId13"/>
                          <a:stretch>
                            <a:fillRect/>
                          </a:stretch>
                        </pic:blipFill>
                        <pic:spPr>
                          <a:xfrm>
                            <a:off x="0" y="0"/>
                            <a:ext cx="1148715" cy="784860"/>
                          </a:xfrm>
                          <a:prstGeom prst="rect">
                            <a:avLst/>
                          </a:prstGeom>
                        </pic:spPr>
                      </pic:pic>
                    </a:graphicData>
                  </a:graphic>
                </wp:inline>
              </w:drawing>
            </w:r>
          </w:p>
        </w:tc>
        <w:tc>
          <w:tcPr>
            <w:tcW w:w="1897" w:type="dxa"/>
            <w:shd w:val="clear" w:color="auto" w:fill="auto"/>
            <w:vAlign w:val="center"/>
          </w:tcPr>
          <w:p w14:paraId="256DE1CF">
            <w:pPr>
              <w:widowControl w:val="0"/>
              <w:jc w:val="both"/>
              <w:rPr>
                <w:rFonts w:hint="eastAsia" w:ascii="Times New Roman" w:hAnsi="Times New Roman" w:eastAsia="宋体"/>
                <w:snapToGrid w:val="0"/>
                <w:kern w:val="0"/>
                <w:sz w:val="24"/>
                <w:lang w:eastAsia="zh-CN"/>
              </w:rPr>
            </w:pPr>
            <w:r>
              <w:rPr>
                <w:rFonts w:hint="eastAsia" w:ascii="Times New Roman" w:hAnsi="Times New Roman"/>
                <w:sz w:val="24"/>
              </w:rPr>
              <w:t>图1：</w:t>
            </w:r>
            <w:r>
              <w:rPr>
                <w:rFonts w:hint="eastAsia" w:ascii="Times New Roman" w:hAnsi="Times New Roman"/>
                <w:sz w:val="24"/>
                <w:lang w:eastAsia="zh-CN"/>
              </w:rPr>
              <w:t>港利投资集团上午中心项目整体里面外观实景图</w:t>
            </w:r>
          </w:p>
          <w:p w14:paraId="4C7090D7">
            <w:pPr>
              <w:widowControl w:val="0"/>
              <w:jc w:val="both"/>
              <w:rPr>
                <w:rFonts w:ascii="Times New Roman" w:hAnsi="Times New Roman"/>
                <w:snapToGrid w:val="0"/>
                <w:kern w:val="0"/>
                <w:sz w:val="24"/>
              </w:rPr>
            </w:pPr>
          </w:p>
          <w:p w14:paraId="6BA6272A">
            <w:pPr>
              <w:widowControl w:val="0"/>
              <w:jc w:val="both"/>
              <w:rPr>
                <w:rFonts w:ascii="Times New Roman" w:hAnsi="Times New Roman"/>
                <w:snapToGrid w:val="0"/>
                <w:kern w:val="0"/>
                <w:sz w:val="24"/>
              </w:rPr>
            </w:pPr>
          </w:p>
          <w:p w14:paraId="102BA41D">
            <w:pPr>
              <w:widowControl w:val="0"/>
              <w:jc w:val="both"/>
              <w:rPr>
                <w:rFonts w:hint="eastAsia" w:ascii="Times New Roman" w:hAnsi="Times New Roman" w:eastAsia="宋体"/>
                <w:sz w:val="24"/>
                <w:lang w:eastAsia="zh-CN"/>
              </w:rPr>
            </w:pPr>
            <w:r>
              <w:rPr>
                <w:rFonts w:hint="eastAsia" w:ascii="Times New Roman" w:hAnsi="Times New Roman"/>
                <w:sz w:val="24"/>
              </w:rPr>
              <w:t>图2：</w:t>
            </w:r>
            <w:r>
              <w:rPr>
                <w:rFonts w:hint="eastAsia" w:ascii="Times New Roman" w:hAnsi="Times New Roman"/>
                <w:sz w:val="24"/>
                <w:lang w:eastAsia="zh-CN"/>
              </w:rPr>
              <w:t>消防泵房机电安装实景图</w:t>
            </w:r>
          </w:p>
          <w:p w14:paraId="784666A0">
            <w:pPr>
              <w:widowControl w:val="0"/>
              <w:jc w:val="both"/>
              <w:rPr>
                <w:rFonts w:hint="eastAsia" w:ascii="Times New Roman" w:hAnsi="Times New Roman" w:eastAsia="宋体" w:cs="宋体"/>
                <w:bCs/>
                <w:kern w:val="0"/>
                <w:sz w:val="24"/>
                <w:szCs w:val="24"/>
                <w:lang w:val="en-US" w:eastAsia="zh-CN" w:bidi="ar-SA"/>
              </w:rPr>
            </w:pPr>
          </w:p>
        </w:tc>
      </w:tr>
      <w:tr w14:paraId="4990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011A97AD">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6</w:t>
            </w:r>
          </w:p>
        </w:tc>
        <w:tc>
          <w:tcPr>
            <w:tcW w:w="1353" w:type="dxa"/>
            <w:shd w:val="clear" w:color="auto" w:fill="auto"/>
            <w:vAlign w:val="center"/>
          </w:tcPr>
          <w:p w14:paraId="3E700C20">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中国建筑第八工程局有限公司</w:t>
            </w:r>
          </w:p>
        </w:tc>
        <w:tc>
          <w:tcPr>
            <w:tcW w:w="1265" w:type="dxa"/>
            <w:shd w:val="clear" w:color="auto" w:fill="auto"/>
            <w:vAlign w:val="center"/>
          </w:tcPr>
          <w:p w14:paraId="434C0012">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连云港市第一人民医院开发区院区-住院楼，康复楼，门诊医技楼，地下室，液氧站，幕墙工程，雨棚工程</w:t>
            </w:r>
          </w:p>
        </w:tc>
        <w:tc>
          <w:tcPr>
            <w:tcW w:w="2176" w:type="dxa"/>
            <w:shd w:val="clear" w:color="auto" w:fill="auto"/>
            <w:vAlign w:val="center"/>
          </w:tcPr>
          <w:p w14:paraId="25550326">
            <w:pPr>
              <w:widowControl w:val="0"/>
              <w:jc w:val="left"/>
              <w:rPr>
                <w:rFonts w:hint="eastAsia" w:ascii="Times New Roman" w:hAnsi="Times New Roman" w:eastAsia="宋体" w:cs="宋体"/>
                <w:bCs/>
                <w:iCs/>
                <w:kern w:val="2"/>
                <w:sz w:val="24"/>
                <w:szCs w:val="24"/>
                <w:lang w:val="en-US" w:eastAsia="zh-CN" w:bidi="ar-SA"/>
              </w:rPr>
            </w:pPr>
            <w:r>
              <w:rPr>
                <w:rFonts w:hint="eastAsia" w:ascii="Times New Roman" w:hAnsi="Times New Roman" w:eastAsia="宋体" w:cs="宋体"/>
                <w:snapToGrid w:val="0"/>
                <w:kern w:val="0"/>
                <w:sz w:val="24"/>
                <w:lang w:val="en-US" w:eastAsia="zh-CN"/>
              </w:rPr>
              <w:t>项目总建筑面积</w:t>
            </w:r>
            <w:r>
              <w:rPr>
                <w:rFonts w:hint="default" w:ascii="Times New Roman" w:hAnsi="Times New Roman" w:eastAsia="宋体" w:cs="宋体"/>
                <w:snapToGrid w:val="0"/>
                <w:kern w:val="0"/>
                <w:sz w:val="24"/>
                <w:lang w:val="en-US" w:eastAsia="zh-CN"/>
              </w:rPr>
              <w:t>156261</w:t>
            </w:r>
            <w:r>
              <w:rPr>
                <w:rFonts w:hint="eastAsia" w:ascii="Times New Roman" w:hAnsi="Times New Roman" w:eastAsia="宋体" w:cs="宋体"/>
                <w:snapToGrid w:val="0"/>
                <w:kern w:val="0"/>
                <w:sz w:val="24"/>
                <w:lang w:val="en-US" w:eastAsia="zh-CN"/>
              </w:rPr>
              <w:t>.00平方米，地上4～11层、地下1层，建筑高度47.8米；2020年12月25日开工，2023年8月31日竣工验收；本工程为综合性医疗建筑，包含门诊、医技、住院等功能，工程结构形式为框架结构，施工过程中严格执行国家及地方规范标准，采用新技术、新工艺，质量目标明确，过程管控严格，竣工验收质量评定为优良，交付使用后运行状况良好。</w:t>
            </w:r>
          </w:p>
        </w:tc>
        <w:tc>
          <w:tcPr>
            <w:tcW w:w="1133" w:type="dxa"/>
            <w:shd w:val="clear" w:color="auto" w:fill="auto"/>
            <w:vAlign w:val="center"/>
          </w:tcPr>
          <w:p w14:paraId="289DF246">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rPr>
              <w:t>2023</w:t>
            </w:r>
            <w:r>
              <w:rPr>
                <w:rFonts w:hint="eastAsia" w:ascii="Times New Roman" w:hAnsi="Times New Roman"/>
                <w:kern w:val="0"/>
                <w:sz w:val="24"/>
                <w:lang w:val="en-US" w:eastAsia="zh-CN"/>
              </w:rPr>
              <w:t>年</w:t>
            </w:r>
            <w:r>
              <w:rPr>
                <w:rFonts w:hint="eastAsia" w:ascii="Times New Roman" w:hAnsi="Times New Roman"/>
                <w:kern w:val="0"/>
                <w:sz w:val="24"/>
              </w:rPr>
              <w:t>11</w:t>
            </w:r>
            <w:r>
              <w:rPr>
                <w:rFonts w:hint="eastAsia" w:ascii="Times New Roman" w:hAnsi="Times New Roman"/>
                <w:kern w:val="0"/>
                <w:sz w:val="24"/>
                <w:lang w:val="en-US" w:eastAsia="zh-CN"/>
              </w:rPr>
              <w:t>月</w:t>
            </w:r>
            <w:r>
              <w:rPr>
                <w:rFonts w:hint="eastAsia" w:ascii="Times New Roman" w:hAnsi="Times New Roman"/>
                <w:kern w:val="0"/>
                <w:sz w:val="24"/>
              </w:rPr>
              <w:t>10</w:t>
            </w:r>
            <w:r>
              <w:rPr>
                <w:rFonts w:hint="eastAsia" w:ascii="Times New Roman" w:hAnsi="Times New Roman"/>
                <w:kern w:val="0"/>
                <w:sz w:val="24"/>
                <w:lang w:val="en-US" w:eastAsia="zh-CN"/>
              </w:rPr>
              <w:t>日</w:t>
            </w:r>
          </w:p>
        </w:tc>
        <w:tc>
          <w:tcPr>
            <w:tcW w:w="1691" w:type="dxa"/>
            <w:shd w:val="clear" w:color="auto" w:fill="auto"/>
            <w:vAlign w:val="center"/>
          </w:tcPr>
          <w:p w14:paraId="3E26F109">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1、绿色节能建筑：通过自然采光通风、遮阳措施及屋顶花园等设计，使供暖空调负荷降低约14.46%；太阳能提供的生活热水比例达54.04%。</w:t>
            </w:r>
          </w:p>
          <w:p w14:paraId="6746D786">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2、人性化建筑设计：设计以“龙首”为意象，建筑形态稍作扭转，打破常规医院的刻板形象。独立的康复楼通过空中连廊与医疗区衔接，裙楼屋顶设有花园，营造出多维立体的“花园医院”疗愈环境。</w:t>
            </w:r>
          </w:p>
          <w:p w14:paraId="3ECCD335">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3、整体建筑贯彻落实主动式绿建建筑设计，外窗采用遮阳格栅设计，有效减少日照热辐射。外窗细致有韵律的格栅设计，使建筑外立面呈现因视角移动而多变的丰富层次。</w:t>
            </w:r>
          </w:p>
          <w:p w14:paraId="45738ABE">
            <w:pPr>
              <w:widowControl w:val="0"/>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4、采用BIM技术，大型设备与管线综合排布美观实用。</w:t>
            </w:r>
          </w:p>
        </w:tc>
        <w:tc>
          <w:tcPr>
            <w:tcW w:w="1852" w:type="dxa"/>
            <w:shd w:val="clear" w:color="auto" w:fill="auto"/>
            <w:vAlign w:val="center"/>
          </w:tcPr>
          <w:p w14:paraId="0090B015">
            <w:pPr>
              <w:widowControl w:val="0"/>
              <w:jc w:val="both"/>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1、管道、桥架、风管立体分层，标识清晰，保温做工精良。灯具、烟感、喷淋等，成排成线、安装规范，整齐有致，美观大方。</w:t>
            </w:r>
            <w:r>
              <w:rPr>
                <w:rFonts w:hint="eastAsia" w:ascii="Times New Roman" w:hAnsi="Times New Roman"/>
                <w:kern w:val="0"/>
                <w:sz w:val="24"/>
                <w:lang w:val="en-US" w:eastAsia="zh-CN"/>
              </w:rPr>
              <w:t>设备布局合理，基座、阀门、仪表成行成线，接地可靠。</w:t>
            </w:r>
          </w:p>
          <w:p w14:paraId="755F7D91">
            <w:pPr>
              <w:widowControl w:val="0"/>
              <w:jc w:val="both"/>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2、幕墙线条顺畅，排布均匀，排缝均匀；玻璃幕墙，胶缝饱满，层次分明，造型美观。</w:t>
            </w:r>
          </w:p>
          <w:p w14:paraId="358DB896">
            <w:pPr>
              <w:widowControl w:val="0"/>
              <w:jc w:val="both"/>
              <w:rPr>
                <w:rFonts w:hint="eastAsia" w:ascii="Times New Roman" w:hAnsi="Times New Roman"/>
                <w:kern w:val="0"/>
                <w:sz w:val="24"/>
                <w:lang w:val="en-US" w:eastAsia="zh-CN"/>
              </w:rPr>
            </w:pPr>
            <w:r>
              <w:rPr>
                <w:rFonts w:hint="eastAsia" w:ascii="Times New Roman" w:hAnsi="Times New Roman"/>
                <w:kern w:val="0"/>
                <w:sz w:val="24"/>
                <w:lang w:val="en-US" w:eastAsia="zh-CN"/>
              </w:rPr>
              <w:t>3、内部装修美观，布局合理。医疗设备安装牢固，功能完善。</w:t>
            </w:r>
          </w:p>
          <w:p w14:paraId="697958BA">
            <w:pPr>
              <w:widowControl w:val="0"/>
              <w:jc w:val="both"/>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lang w:val="en-US" w:eastAsia="zh-CN"/>
              </w:rPr>
              <w:t>4、项目获“江苏省建筑施工标准化星级工地(三星)”、“连云港市优质结构工程”、“全国建设工程项目施工安全标准化工地”、2022年第五届“优路杯”全国BIM技术大赛铜奖、中施协绿色建造水平评价（⭐⭐）、江苏省绿色施工示范工程等成果。</w:t>
            </w:r>
          </w:p>
        </w:tc>
        <w:tc>
          <w:tcPr>
            <w:tcW w:w="2127" w:type="dxa"/>
            <w:shd w:val="clear" w:color="auto" w:fill="auto"/>
            <w:vAlign w:val="center"/>
          </w:tcPr>
          <w:p w14:paraId="5D5A8359">
            <w:pPr>
              <w:widowControl w:val="0"/>
            </w:pPr>
            <w:r>
              <w:drawing>
                <wp:inline distT="0" distB="0" distL="114300" distR="114300">
                  <wp:extent cx="1148715" cy="784860"/>
                  <wp:effectExtent l="0" t="0" r="13335" b="15240"/>
                  <wp:docPr id="49" name="图片 3"/>
                  <wp:cNvGraphicFramePr/>
                  <a:graphic xmlns:a="http://schemas.openxmlformats.org/drawingml/2006/main">
                    <a:graphicData uri="http://schemas.openxmlformats.org/drawingml/2006/picture">
                      <pic:pic xmlns:pic="http://schemas.openxmlformats.org/drawingml/2006/picture">
                        <pic:nvPicPr>
                          <pic:cNvPr id="49" name="图片 3"/>
                          <pic:cNvPicPr/>
                        </pic:nvPicPr>
                        <pic:blipFill>
                          <a:blip r:embed="rId14"/>
                          <a:stretch>
                            <a:fillRect/>
                          </a:stretch>
                        </pic:blipFill>
                        <pic:spPr>
                          <a:xfrm>
                            <a:off x="0" y="0"/>
                            <a:ext cx="1148715" cy="784860"/>
                          </a:xfrm>
                          <a:prstGeom prst="rect">
                            <a:avLst/>
                          </a:prstGeom>
                        </pic:spPr>
                      </pic:pic>
                    </a:graphicData>
                  </a:graphic>
                </wp:inline>
              </w:drawing>
            </w:r>
          </w:p>
          <w:p w14:paraId="733BE41E">
            <w:pPr>
              <w:widowControl w:val="0"/>
              <w:rPr>
                <w:rFonts w:hint="eastAsia" w:ascii="宋体" w:hAnsi="宋体" w:eastAsia="宋体" w:cs="宋体"/>
                <w:bCs/>
                <w:kern w:val="2"/>
                <w:sz w:val="21"/>
                <w:szCs w:val="24"/>
                <w:lang w:val="en-US" w:eastAsia="zh-CN" w:bidi="ar-SA"/>
              </w:rPr>
            </w:pPr>
            <w:r>
              <w:drawing>
                <wp:inline distT="0" distB="0" distL="114300" distR="114300">
                  <wp:extent cx="1169670" cy="793750"/>
                  <wp:effectExtent l="12700" t="12700" r="17780" b="1270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
                          <a:srcRect l="11929" t="4245" r="16505"/>
                          <a:stretch>
                            <a:fillRect/>
                          </a:stretch>
                        </pic:blipFill>
                        <pic:spPr>
                          <a:xfrm>
                            <a:off x="0" y="0"/>
                            <a:ext cx="1169670" cy="793750"/>
                          </a:xfrm>
                          <a:prstGeom prst="rect">
                            <a:avLst/>
                          </a:prstGeom>
                          <a:ln w="12700" cmpd="sng">
                            <a:solidFill>
                              <a:schemeClr val="accent1">
                                <a:shade val="50000"/>
                              </a:schemeClr>
                            </a:solidFill>
                            <a:prstDash val="solid"/>
                          </a:ln>
                          <a:effectLst/>
                        </pic:spPr>
                      </pic:pic>
                    </a:graphicData>
                  </a:graphic>
                </wp:inline>
              </w:drawing>
            </w:r>
          </w:p>
        </w:tc>
        <w:tc>
          <w:tcPr>
            <w:tcW w:w="1897" w:type="dxa"/>
            <w:shd w:val="clear" w:color="auto" w:fill="auto"/>
            <w:vAlign w:val="center"/>
          </w:tcPr>
          <w:p w14:paraId="429F49BE">
            <w:pPr>
              <w:widowControl w:val="0"/>
              <w:jc w:val="both"/>
              <w:rPr>
                <w:rFonts w:hint="eastAsia" w:ascii="Times New Roman" w:hAnsi="Times New Roman" w:eastAsia="宋体"/>
                <w:sz w:val="24"/>
                <w:lang w:val="en-US" w:eastAsia="zh-CN"/>
              </w:rPr>
            </w:pPr>
            <w:r>
              <w:rPr>
                <w:rFonts w:hint="eastAsia" w:ascii="Times New Roman" w:hAnsi="Times New Roman"/>
                <w:sz w:val="24"/>
              </w:rPr>
              <w:t>图1：</w:t>
            </w:r>
            <w:r>
              <w:rPr>
                <w:rFonts w:hint="eastAsia" w:ascii="Times New Roman" w:hAnsi="Times New Roman"/>
                <w:sz w:val="24"/>
                <w:lang w:val="en-US" w:eastAsia="zh-CN"/>
              </w:rPr>
              <w:t>正视图</w:t>
            </w:r>
          </w:p>
          <w:p w14:paraId="547A0058">
            <w:pPr>
              <w:widowControl w:val="0"/>
              <w:jc w:val="both"/>
              <w:rPr>
                <w:rFonts w:hint="eastAsia" w:ascii="Times New Roman" w:hAnsi="Times New Roman"/>
                <w:sz w:val="24"/>
              </w:rPr>
            </w:pPr>
          </w:p>
          <w:p w14:paraId="49BAFAE2">
            <w:pPr>
              <w:widowControl w:val="0"/>
              <w:jc w:val="both"/>
              <w:rPr>
                <w:rFonts w:ascii="Times New Roman" w:hAnsi="Times New Roman"/>
                <w:snapToGrid w:val="0"/>
                <w:kern w:val="0"/>
                <w:sz w:val="24"/>
              </w:rPr>
            </w:pPr>
          </w:p>
          <w:p w14:paraId="03D686E4">
            <w:pPr>
              <w:widowControl w:val="0"/>
              <w:jc w:val="both"/>
              <w:rPr>
                <w:rFonts w:hint="eastAsia" w:ascii="Times New Roman" w:hAnsi="Times New Roman" w:eastAsia="宋体"/>
                <w:sz w:val="24"/>
                <w:lang w:val="en-US" w:eastAsia="zh-CN"/>
              </w:rPr>
            </w:pPr>
            <w:r>
              <w:rPr>
                <w:rFonts w:hint="eastAsia" w:ascii="Times New Roman" w:hAnsi="Times New Roman"/>
                <w:sz w:val="24"/>
              </w:rPr>
              <w:t>图2：</w:t>
            </w:r>
            <w:r>
              <w:rPr>
                <w:rFonts w:hint="eastAsia" w:ascii="Times New Roman" w:hAnsi="Times New Roman"/>
                <w:sz w:val="24"/>
                <w:lang w:val="en-US" w:eastAsia="zh-CN"/>
              </w:rPr>
              <w:t>鸟瞰图</w:t>
            </w:r>
          </w:p>
          <w:p w14:paraId="123B3257">
            <w:pPr>
              <w:widowControl w:val="0"/>
              <w:jc w:val="both"/>
              <w:rPr>
                <w:rFonts w:hint="eastAsia" w:ascii="Times New Roman" w:hAnsi="Times New Roman" w:eastAsia="宋体" w:cs="宋体"/>
                <w:bCs/>
                <w:kern w:val="0"/>
                <w:sz w:val="24"/>
                <w:szCs w:val="24"/>
                <w:lang w:val="en-US" w:eastAsia="zh-CN" w:bidi="ar-SA"/>
              </w:rPr>
            </w:pPr>
          </w:p>
        </w:tc>
      </w:tr>
      <w:tr w14:paraId="74FB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25650497">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7</w:t>
            </w:r>
          </w:p>
        </w:tc>
        <w:tc>
          <w:tcPr>
            <w:tcW w:w="1353" w:type="dxa"/>
            <w:shd w:val="clear" w:color="auto" w:fill="auto"/>
            <w:vAlign w:val="center"/>
          </w:tcPr>
          <w:p w14:paraId="4A1E771E">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中国安能集团华东投资开发有限公司</w:t>
            </w:r>
          </w:p>
        </w:tc>
        <w:tc>
          <w:tcPr>
            <w:tcW w:w="1265" w:type="dxa"/>
            <w:shd w:val="clear" w:color="auto" w:fill="auto"/>
            <w:vAlign w:val="center"/>
          </w:tcPr>
          <w:p w14:paraId="5CED8877">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秦东门中学新建工程(校安工程)-1#、2#、3#、4#及地下室</w:t>
            </w:r>
          </w:p>
        </w:tc>
        <w:tc>
          <w:tcPr>
            <w:tcW w:w="2176" w:type="dxa"/>
            <w:shd w:val="clear" w:color="auto" w:fill="auto"/>
            <w:vAlign w:val="center"/>
          </w:tcPr>
          <w:p w14:paraId="3EFA4F4D">
            <w:pPr>
              <w:widowControl w:val="0"/>
              <w:rPr>
                <w:rFonts w:hint="eastAsia" w:ascii="Times New Roman" w:hAnsi="Times New Roman" w:eastAsia="宋体" w:cs="宋体"/>
                <w:bCs/>
                <w:iCs/>
                <w:kern w:val="2"/>
                <w:sz w:val="24"/>
                <w:szCs w:val="24"/>
                <w:lang w:val="en-US" w:eastAsia="zh-CN" w:bidi="ar-SA"/>
              </w:rPr>
            </w:pPr>
            <w:r>
              <w:rPr>
                <w:rFonts w:hint="eastAsia" w:ascii="Times New Roman" w:hAnsi="Times New Roman"/>
                <w:iCs/>
                <w:sz w:val="24"/>
                <w:lang w:val="en-US" w:eastAsia="zh-CN"/>
              </w:rPr>
              <w:t>位于</w:t>
            </w:r>
            <w:r>
              <w:rPr>
                <w:rFonts w:hint="eastAsia" w:ascii="Times New Roman" w:hAnsi="Times New Roman"/>
                <w:iCs/>
                <w:sz w:val="24"/>
              </w:rPr>
              <w:t>连云港高新区海州工业园朐凤路南侧、支路西侧地块</w:t>
            </w:r>
            <w:r>
              <w:rPr>
                <w:rFonts w:hint="eastAsia" w:ascii="Times New Roman" w:hAnsi="Times New Roman"/>
                <w:iCs/>
                <w:sz w:val="24"/>
                <w:lang w:eastAsia="zh-CN"/>
              </w:rPr>
              <w:t>，</w:t>
            </w:r>
            <w:r>
              <w:rPr>
                <w:rFonts w:hint="eastAsia" w:ascii="Times New Roman" w:hAnsi="Times New Roman"/>
                <w:iCs/>
                <w:sz w:val="24"/>
              </w:rPr>
              <w:t>占地面积29645</w:t>
            </w:r>
            <w:r>
              <w:rPr>
                <w:rFonts w:hint="eastAsia" w:ascii="Times New Roman" w:hAnsi="Times New Roman"/>
                <w:iCs/>
                <w:sz w:val="24"/>
                <w:lang w:val="en-US" w:eastAsia="zh-CN"/>
              </w:rPr>
              <w:t>㎡</w:t>
            </w:r>
            <w:r>
              <w:rPr>
                <w:rFonts w:hint="eastAsia" w:ascii="Times New Roman" w:hAnsi="Times New Roman"/>
                <w:iCs/>
                <w:sz w:val="24"/>
              </w:rPr>
              <w:t>，</w:t>
            </w:r>
            <w:r>
              <w:rPr>
                <w:rFonts w:hint="eastAsia" w:ascii="Times New Roman" w:hAnsi="Times New Roman"/>
                <w:iCs/>
                <w:sz w:val="24"/>
                <w:lang w:val="en-US" w:eastAsia="zh-CN"/>
              </w:rPr>
              <w:t>总建筑面积24173㎡，地上五层，局部地下一层。</w:t>
            </w:r>
            <w:r>
              <w:rPr>
                <w:rFonts w:hint="eastAsia" w:ascii="Times New Roman" w:hAnsi="Times New Roman"/>
                <w:iCs/>
                <w:sz w:val="24"/>
              </w:rPr>
              <w:t>包含</w:t>
            </w:r>
            <w:r>
              <w:rPr>
                <w:rFonts w:hint="eastAsia" w:ascii="Times New Roman" w:hAnsi="Times New Roman"/>
                <w:iCs/>
                <w:sz w:val="24"/>
                <w:lang w:val="en-US" w:eastAsia="zh-CN"/>
              </w:rPr>
              <w:t>教学楼、实验楼、综合楼、体育馆、报告厅等</w:t>
            </w:r>
            <w:r>
              <w:rPr>
                <w:rFonts w:hint="eastAsia" w:ascii="Times New Roman" w:hAnsi="Times New Roman"/>
                <w:iCs/>
                <w:sz w:val="24"/>
              </w:rPr>
              <w:t>五栋单体建筑</w:t>
            </w:r>
            <w:r>
              <w:rPr>
                <w:rFonts w:hint="eastAsia" w:ascii="Times New Roman" w:hAnsi="Times New Roman"/>
                <w:iCs/>
                <w:sz w:val="24"/>
                <w:lang w:val="en-US" w:eastAsia="zh-CN"/>
              </w:rPr>
              <w:t>及室外景观绿化等。</w:t>
            </w:r>
          </w:p>
        </w:tc>
        <w:tc>
          <w:tcPr>
            <w:tcW w:w="1133" w:type="dxa"/>
            <w:shd w:val="clear" w:color="auto" w:fill="auto"/>
            <w:vAlign w:val="center"/>
          </w:tcPr>
          <w:p w14:paraId="26F9A1F0">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lang w:val="en-US" w:eastAsia="zh-CN"/>
              </w:rPr>
              <w:t>2024年7月31日</w:t>
            </w:r>
          </w:p>
        </w:tc>
        <w:tc>
          <w:tcPr>
            <w:tcW w:w="1691" w:type="dxa"/>
            <w:shd w:val="clear" w:color="auto" w:fill="auto"/>
            <w:vAlign w:val="center"/>
          </w:tcPr>
          <w:p w14:paraId="3E16DA43">
            <w:pPr>
              <w:widowControl w:val="0"/>
              <w:rPr>
                <w:rFonts w:hint="eastAsia" w:ascii="Times New Roman" w:hAnsi="Times New Roman" w:eastAsia="宋体" w:cs="宋体"/>
                <w:bCs/>
                <w:snapToGrid w:val="0"/>
                <w:kern w:val="0"/>
                <w:sz w:val="24"/>
                <w:szCs w:val="24"/>
                <w:lang w:val="en-US" w:eastAsia="zh-CN" w:bidi="ar-SA"/>
              </w:rPr>
            </w:pPr>
            <w:r>
              <w:rPr>
                <w:rFonts w:hint="eastAsia" w:ascii="宋体" w:hAnsi="宋体" w:eastAsia="宋体" w:cs="宋体"/>
                <w:i w:val="0"/>
                <w:iCs w:val="0"/>
                <w:caps w:val="0"/>
                <w:spacing w:val="0"/>
                <w:sz w:val="24"/>
                <w:szCs w:val="24"/>
              </w:rPr>
              <w:t>校园规划科学分区布局，有效分隔</w:t>
            </w:r>
            <w:r>
              <w:rPr>
                <w:rFonts w:hint="eastAsia" w:cs="宋体"/>
                <w:i w:val="0"/>
                <w:iCs w:val="0"/>
                <w:caps w:val="0"/>
                <w:spacing w:val="0"/>
                <w:sz w:val="24"/>
                <w:szCs w:val="24"/>
                <w:lang w:val="en-US" w:eastAsia="zh-CN"/>
              </w:rPr>
              <w:t>不同区域</w:t>
            </w:r>
            <w:r>
              <w:rPr>
                <w:rFonts w:hint="eastAsia" w:ascii="宋体" w:hAnsi="宋体" w:eastAsia="宋体" w:cs="宋体"/>
                <w:i w:val="0"/>
                <w:iCs w:val="0"/>
                <w:caps w:val="0"/>
                <w:spacing w:val="0"/>
                <w:sz w:val="24"/>
                <w:szCs w:val="24"/>
              </w:rPr>
              <w:t>，流线组织清晰，营造了安静、安全、有序的育人环境。建筑设计严格遵循校安工程高标准，为师生筑牢安全底线。室外工程融入海绵城市理念，通过预埋雨水调蓄池实现雨水的自然积存与渗透，将生态功能与校园景观有机结合。智能化系统覆盖室内外，满足教育配备标准，为智慧教学管理奠定了坚实底座。</w:t>
            </w:r>
          </w:p>
        </w:tc>
        <w:tc>
          <w:tcPr>
            <w:tcW w:w="1852" w:type="dxa"/>
            <w:shd w:val="clear" w:color="auto" w:fill="auto"/>
            <w:vAlign w:val="center"/>
          </w:tcPr>
          <w:p w14:paraId="0BFCB541">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1.高品质教育载体：满足8轨24班教学需求，集教学、实验、综合楼、体育馆等功能于一体，助力区域义务教育扩容提质，社会效益显著。</w:t>
            </w:r>
          </w:p>
          <w:p w14:paraId="7ACC625D">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2.科技与绿色双示范：科技创新成果丰硕，产出多项工法、专利与软著；绿色建筑与海绵城市技术集成应用，降能耗、促调蓄，打造安全韧性、低碳环保的校园样板。</w:t>
            </w:r>
          </w:p>
          <w:p w14:paraId="426DD87D">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3.智慧校园标杆：智能化系统赋能智慧教学、推动学校从传统校园向智慧校园跃升。</w:t>
            </w:r>
          </w:p>
        </w:tc>
        <w:tc>
          <w:tcPr>
            <w:tcW w:w="2127" w:type="dxa"/>
            <w:shd w:val="clear" w:color="auto" w:fill="auto"/>
            <w:vAlign w:val="center"/>
          </w:tcPr>
          <w:p w14:paraId="214A863A">
            <w:pPr>
              <w:widowControl w:val="0"/>
            </w:pPr>
            <w:r>
              <w:drawing>
                <wp:inline distT="0" distB="0" distL="114300" distR="114300">
                  <wp:extent cx="1211580" cy="782320"/>
                  <wp:effectExtent l="0" t="0" r="7620" b="1778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6"/>
                          <a:stretch>
                            <a:fillRect/>
                          </a:stretch>
                        </pic:blipFill>
                        <pic:spPr>
                          <a:xfrm>
                            <a:off x="0" y="0"/>
                            <a:ext cx="1211580" cy="782320"/>
                          </a:xfrm>
                          <a:prstGeom prst="rect">
                            <a:avLst/>
                          </a:prstGeom>
                          <a:noFill/>
                          <a:ln>
                            <a:noFill/>
                          </a:ln>
                        </pic:spPr>
                      </pic:pic>
                    </a:graphicData>
                  </a:graphic>
                </wp:inline>
              </w:drawing>
            </w:r>
          </w:p>
          <w:p w14:paraId="2ADFCAA2">
            <w:pPr>
              <w:widowControl w:val="0"/>
            </w:pPr>
          </w:p>
          <w:p w14:paraId="41614FE7">
            <w:pPr>
              <w:widowControl w:val="0"/>
            </w:pPr>
          </w:p>
          <w:p w14:paraId="202FFABD">
            <w:pPr>
              <w:widowControl w:val="0"/>
              <w:rPr>
                <w:rFonts w:hint="eastAsia" w:ascii="Times New Roman" w:hAnsi="Times New Roman"/>
                <w:kern w:val="0"/>
                <w:sz w:val="24"/>
              </w:rPr>
            </w:pPr>
            <w:r>
              <w:rPr>
                <w:rFonts w:hint="eastAsia" w:ascii="Times New Roman" w:hAnsi="Times New Roman"/>
                <w:kern w:val="0"/>
                <w:sz w:val="24"/>
              </w:rPr>
              <w:drawing>
                <wp:inline distT="0" distB="0" distL="114300" distR="114300">
                  <wp:extent cx="1181100" cy="787400"/>
                  <wp:effectExtent l="0" t="0" r="0" b="12700"/>
                  <wp:docPr id="52" name="图片 52" descr="C:/Users/郭鹏程/Desktop/2026年扬子杯资料（打印）/2026年扬子杯资料（打印）/资料/12-反映工程概貌和主要部位照片/远景1.jpg远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郭鹏程/Desktop/2026年扬子杯资料（打印）/2026年扬子杯资料（打印）/资料/12-反映工程概貌和主要部位照片/远景1.jpg远景1"/>
                          <pic:cNvPicPr>
                            <a:picLocks noChangeAspect="1"/>
                          </pic:cNvPicPr>
                        </pic:nvPicPr>
                        <pic:blipFill>
                          <a:blip r:embed="rId17"/>
                          <a:srcRect l="7823" r="7823"/>
                          <a:stretch>
                            <a:fillRect/>
                          </a:stretch>
                        </pic:blipFill>
                        <pic:spPr>
                          <a:xfrm>
                            <a:off x="0" y="0"/>
                            <a:ext cx="1181100" cy="787400"/>
                          </a:xfrm>
                          <a:prstGeom prst="rect">
                            <a:avLst/>
                          </a:prstGeom>
                        </pic:spPr>
                      </pic:pic>
                    </a:graphicData>
                  </a:graphic>
                </wp:inline>
              </w:drawing>
            </w:r>
          </w:p>
          <w:p w14:paraId="414B134F">
            <w:pPr>
              <w:widowControl w:val="0"/>
              <w:rPr>
                <w:rFonts w:hint="eastAsia" w:ascii="Times New Roman" w:hAnsi="Times New Roman"/>
                <w:kern w:val="0"/>
                <w:sz w:val="24"/>
              </w:rPr>
            </w:pPr>
          </w:p>
          <w:p w14:paraId="2DAB94C1">
            <w:pPr>
              <w:widowControl w:val="0"/>
              <w:rPr>
                <w:rFonts w:hint="eastAsia" w:ascii="Times New Roman" w:hAnsi="Times New Roman" w:eastAsia="宋体" w:cs="宋体"/>
                <w:bCs/>
                <w:kern w:val="0"/>
                <w:sz w:val="24"/>
                <w:szCs w:val="24"/>
                <w:lang w:val="en-US" w:eastAsia="zh-CN" w:bidi="ar-SA"/>
              </w:rPr>
            </w:pPr>
          </w:p>
        </w:tc>
        <w:tc>
          <w:tcPr>
            <w:tcW w:w="1897" w:type="dxa"/>
            <w:shd w:val="clear" w:color="auto" w:fill="auto"/>
            <w:vAlign w:val="center"/>
          </w:tcPr>
          <w:p w14:paraId="6AA900EF">
            <w:pPr>
              <w:widowControl w:val="0"/>
              <w:rPr>
                <w:rFonts w:hint="eastAsia" w:ascii="Times New Roman" w:hAnsi="Times New Roman"/>
                <w:sz w:val="24"/>
                <w:lang w:val="en-US" w:eastAsia="zh-CN"/>
              </w:rPr>
            </w:pPr>
            <w:r>
              <w:rPr>
                <w:rFonts w:hint="eastAsia" w:ascii="Times New Roman" w:hAnsi="Times New Roman"/>
                <w:sz w:val="24"/>
              </w:rPr>
              <w:t>图</w:t>
            </w:r>
            <w:r>
              <w:rPr>
                <w:rFonts w:hint="eastAsia" w:ascii="Times New Roman" w:hAnsi="Times New Roman"/>
                <w:sz w:val="24"/>
                <w:lang w:val="en-US" w:eastAsia="zh-CN"/>
              </w:rPr>
              <w:t>1</w:t>
            </w:r>
            <w:r>
              <w:rPr>
                <w:rFonts w:hint="eastAsia" w:ascii="Times New Roman" w:hAnsi="Times New Roman"/>
                <w:sz w:val="24"/>
              </w:rPr>
              <w:t>：</w:t>
            </w:r>
            <w:r>
              <w:rPr>
                <w:rFonts w:hint="eastAsia" w:ascii="Times New Roman" w:hAnsi="Times New Roman"/>
                <w:sz w:val="24"/>
                <w:lang w:val="en-US" w:eastAsia="zh-CN"/>
              </w:rPr>
              <w:t>以山·海·书卷为主题意向，提取形态元素，运用于入口标识及广场铺装中，营造富有氛围感的校园文化景观。</w:t>
            </w:r>
          </w:p>
          <w:p w14:paraId="67AA44D5">
            <w:pPr>
              <w:widowControl w:val="0"/>
              <w:rPr>
                <w:rFonts w:hint="eastAsia" w:ascii="Times New Roman" w:hAnsi="Times New Roman"/>
                <w:sz w:val="24"/>
                <w:lang w:val="en-US" w:eastAsia="zh-CN"/>
              </w:rPr>
            </w:pPr>
          </w:p>
          <w:p w14:paraId="47B6C4E9">
            <w:pPr>
              <w:widowControl w:val="0"/>
              <w:rPr>
                <w:rFonts w:ascii="Times New Roman" w:hAnsi="Times New Roman"/>
                <w:snapToGrid w:val="0"/>
                <w:kern w:val="0"/>
                <w:sz w:val="24"/>
              </w:rPr>
            </w:pPr>
            <w:r>
              <w:rPr>
                <w:rFonts w:hint="eastAsia" w:ascii="Times New Roman" w:hAnsi="Times New Roman"/>
                <w:sz w:val="24"/>
              </w:rPr>
              <w:t>图</w:t>
            </w:r>
            <w:r>
              <w:rPr>
                <w:rFonts w:hint="eastAsia" w:ascii="Times New Roman" w:hAnsi="Times New Roman"/>
                <w:sz w:val="24"/>
                <w:lang w:val="en-US" w:eastAsia="zh-CN"/>
              </w:rPr>
              <w:t>2</w:t>
            </w:r>
            <w:r>
              <w:rPr>
                <w:rFonts w:hint="eastAsia" w:ascii="Times New Roman" w:hAnsi="Times New Roman"/>
                <w:sz w:val="24"/>
              </w:rPr>
              <w:t>：教学</w:t>
            </w:r>
            <w:r>
              <w:rPr>
                <w:rFonts w:hint="eastAsia" w:ascii="Times New Roman" w:hAnsi="Times New Roman"/>
                <w:sz w:val="24"/>
                <w:lang w:eastAsia="zh-CN"/>
              </w:rPr>
              <w:t>、</w:t>
            </w:r>
            <w:r>
              <w:rPr>
                <w:rFonts w:hint="eastAsia" w:ascii="Times New Roman" w:hAnsi="Times New Roman"/>
                <w:sz w:val="24"/>
                <w:lang w:val="en-US" w:eastAsia="zh-CN"/>
              </w:rPr>
              <w:t>实验、综合</w:t>
            </w:r>
            <w:r>
              <w:rPr>
                <w:rFonts w:hint="eastAsia" w:ascii="Times New Roman" w:hAnsi="Times New Roman"/>
                <w:sz w:val="24"/>
              </w:rPr>
              <w:t>与运动</w:t>
            </w:r>
            <w:r>
              <w:rPr>
                <w:rFonts w:hint="eastAsia" w:ascii="Times New Roman" w:hAnsi="Times New Roman"/>
                <w:sz w:val="24"/>
                <w:lang w:val="en-US" w:eastAsia="zh-CN"/>
              </w:rPr>
              <w:t>区域</w:t>
            </w:r>
            <w:r>
              <w:rPr>
                <w:rFonts w:hint="eastAsia" w:ascii="Times New Roman" w:hAnsi="Times New Roman"/>
                <w:sz w:val="24"/>
              </w:rPr>
              <w:t>有机融合，建筑群布局疏朗有序，营造出安全、活力的现代校园风貌。</w:t>
            </w:r>
          </w:p>
          <w:p w14:paraId="3DEBE907">
            <w:pPr>
              <w:widowControl w:val="0"/>
              <w:rPr>
                <w:rFonts w:hint="eastAsia" w:ascii="Times New Roman" w:hAnsi="Times New Roman" w:eastAsia="宋体" w:cs="宋体"/>
                <w:bCs/>
                <w:kern w:val="0"/>
                <w:sz w:val="24"/>
                <w:szCs w:val="24"/>
                <w:lang w:val="en-US" w:eastAsia="zh-CN" w:bidi="ar-SA"/>
              </w:rPr>
            </w:pPr>
          </w:p>
        </w:tc>
      </w:tr>
      <w:tr w14:paraId="279E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31FD2C62">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8</w:t>
            </w:r>
          </w:p>
        </w:tc>
        <w:tc>
          <w:tcPr>
            <w:tcW w:w="1353" w:type="dxa"/>
            <w:shd w:val="clear" w:color="auto" w:fill="auto"/>
            <w:vAlign w:val="center"/>
          </w:tcPr>
          <w:p w14:paraId="51CB8F58">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连云港市房政建设工程有限公司</w:t>
            </w:r>
          </w:p>
        </w:tc>
        <w:tc>
          <w:tcPr>
            <w:tcW w:w="1265" w:type="dxa"/>
            <w:shd w:val="clear" w:color="auto" w:fill="auto"/>
            <w:vAlign w:val="center"/>
          </w:tcPr>
          <w:p w14:paraId="451A01BC">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新海初级中学科苑路校区新建工程-1#-1小学教学楼、1#-2小学教学楼、1#-3小学教学楼</w:t>
            </w:r>
          </w:p>
        </w:tc>
        <w:tc>
          <w:tcPr>
            <w:tcW w:w="2176" w:type="dxa"/>
            <w:shd w:val="clear" w:color="auto" w:fill="auto"/>
            <w:vAlign w:val="center"/>
          </w:tcPr>
          <w:p w14:paraId="6FFA24E5">
            <w:pPr>
              <w:widowControl w:val="0"/>
              <w:rPr>
                <w:rFonts w:hint="eastAsia" w:ascii="Times New Roman" w:hAnsi="Times New Roman" w:eastAsia="宋体" w:cs="宋体"/>
                <w:bCs/>
                <w:iCs/>
                <w:kern w:val="2"/>
                <w:sz w:val="24"/>
                <w:szCs w:val="24"/>
                <w:lang w:val="en-US" w:eastAsia="zh-CN" w:bidi="ar-SA"/>
              </w:rPr>
            </w:pPr>
            <w:r>
              <w:rPr>
                <w:rFonts w:hint="eastAsia" w:ascii="Times New Roman" w:hAnsi="Times New Roman"/>
                <w:iCs/>
                <w:sz w:val="24"/>
                <w:lang w:val="en-US" w:eastAsia="zh-CN"/>
              </w:rPr>
              <w:t>连云港市新海初级中学科苑路校区新建工程（一期）项目位于连云港市海州区科苑路西，凤舞路南。项目占地111.8亩，总建筑面积约5万平方米，为九年一贯制学校，规划小学8轨48班2160人、初中8轨24班1200人，总投资约4.16亿元。一期主要建设:小学部教学楼及图书馆、行政楼等配套用房以及附属工程，总建筑面积约2.9万平方米，其中地上建筑面积约2.35万平方米、地下建筑面积约5500平方米，其中1#-1小学教学楼建筑面积为4108.76m²，1#-2小学教学楼建筑面积为3711.36m²，1#-3小学教学楼建筑面积为4270.68m²，共12090.8m²。</w:t>
            </w:r>
          </w:p>
        </w:tc>
        <w:tc>
          <w:tcPr>
            <w:tcW w:w="1133" w:type="dxa"/>
            <w:shd w:val="clear" w:color="auto" w:fill="auto"/>
            <w:vAlign w:val="center"/>
          </w:tcPr>
          <w:p w14:paraId="0648F8BD">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lang w:val="en-US" w:eastAsia="zh-CN"/>
              </w:rPr>
              <w:t>2024年8月30日</w:t>
            </w:r>
          </w:p>
        </w:tc>
        <w:tc>
          <w:tcPr>
            <w:tcW w:w="1691" w:type="dxa"/>
            <w:shd w:val="clear" w:color="auto" w:fill="auto"/>
            <w:vAlign w:val="center"/>
          </w:tcPr>
          <w:p w14:paraId="363E6BA8">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1、预制水磨石施工工艺</w:t>
            </w:r>
          </w:p>
          <w:p w14:paraId="71E8030D">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2、冬季施工方案</w:t>
            </w:r>
          </w:p>
          <w:p w14:paraId="0D35BF75">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3、构造柱在外墙采用无架眼施工艺</w:t>
            </w:r>
          </w:p>
          <w:p w14:paraId="0D3E61B0">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4、</w:t>
            </w:r>
            <w:r>
              <w:rPr>
                <w:rFonts w:hint="default" w:ascii="Times New Roman" w:hAnsi="Times New Roman"/>
                <w:snapToGrid w:val="0"/>
                <w:kern w:val="0"/>
                <w:sz w:val="24"/>
                <w:lang w:val="en-US" w:eastAsia="zh-CN"/>
              </w:rPr>
              <w:t>框架柱、梁接点定型模板工艺</w:t>
            </w:r>
          </w:p>
          <w:p w14:paraId="2AA7433B">
            <w:pPr>
              <w:widowControl w:val="0"/>
              <w:rPr>
                <w:rFonts w:hint="default" w:ascii="Times New Roman" w:hAnsi="Times New Roman"/>
                <w:snapToGrid w:val="0"/>
                <w:kern w:val="0"/>
                <w:sz w:val="24"/>
                <w:lang w:val="en-US" w:eastAsia="zh-CN"/>
              </w:rPr>
            </w:pPr>
            <w:r>
              <w:rPr>
                <w:rFonts w:hint="default" w:ascii="Times New Roman" w:hAnsi="Times New Roman"/>
                <w:snapToGrid w:val="0"/>
                <w:kern w:val="0"/>
                <w:sz w:val="24"/>
                <w:lang w:val="en-US" w:eastAsia="zh-CN"/>
              </w:rPr>
              <w:t>5、填充墙顶部斜砖做法</w:t>
            </w:r>
          </w:p>
          <w:p w14:paraId="6401F1D0">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6、</w:t>
            </w:r>
            <w:r>
              <w:rPr>
                <w:rFonts w:hint="default" w:ascii="Times New Roman" w:hAnsi="Times New Roman"/>
                <w:snapToGrid w:val="0"/>
                <w:kern w:val="0"/>
                <w:sz w:val="24"/>
                <w:lang w:val="en-US" w:eastAsia="zh-CN"/>
              </w:rPr>
              <w:t>高支模盘扣做法</w:t>
            </w:r>
          </w:p>
          <w:p w14:paraId="6B38E4F2">
            <w:pPr>
              <w:widowControl w:val="0"/>
              <w:rPr>
                <w:rFonts w:hint="eastAsia" w:ascii="Times New Roman" w:hAnsi="Times New Roman" w:eastAsia="宋体" w:cs="宋体"/>
                <w:bCs/>
                <w:snapToGrid w:val="0"/>
                <w:kern w:val="0"/>
                <w:sz w:val="24"/>
                <w:szCs w:val="24"/>
                <w:lang w:val="en-US" w:eastAsia="zh-CN" w:bidi="ar-SA"/>
              </w:rPr>
            </w:pPr>
            <w:r>
              <w:rPr>
                <w:rFonts w:hint="default" w:ascii="Times New Roman" w:hAnsi="Times New Roman"/>
                <w:snapToGrid w:val="0"/>
                <w:kern w:val="0"/>
                <w:sz w:val="24"/>
                <w:lang w:val="en-US" w:eastAsia="zh-CN"/>
              </w:rPr>
              <w:t>7、BIM技术应用</w:t>
            </w:r>
          </w:p>
        </w:tc>
        <w:tc>
          <w:tcPr>
            <w:tcW w:w="1852" w:type="dxa"/>
            <w:shd w:val="clear" w:color="auto" w:fill="auto"/>
            <w:vAlign w:val="center"/>
          </w:tcPr>
          <w:p w14:paraId="6E1ABBBF">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1、通过项目部 +工人模式，既有效节约项目成本，又显著提升了成品质量与观感效果。</w:t>
            </w:r>
          </w:p>
          <w:p w14:paraId="5FD434A4">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2、有效保障了施工质量、进度与安全，确保低温环境下工程顺利推进。</w:t>
            </w:r>
          </w:p>
          <w:p w14:paraId="4F618F96">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3、有效避免了墙体渗漏隐患，提升了外墙整体性与观感质量。</w:t>
            </w:r>
          </w:p>
          <w:p w14:paraId="1AEAC976">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4、有效提升了节点成型质量与施工效率，保证了结构棱角顺直、尺寸精准。</w:t>
            </w:r>
          </w:p>
          <w:p w14:paraId="045950F9">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5、有效减少了墙体收缩裂缝，增强了砌体整体性与密实度。6、大幅提升了支撑体系稳定性与安全性，保障了施工进度与结构成型质量。</w:t>
            </w:r>
          </w:p>
          <w:p w14:paraId="0C88DC9F">
            <w:pPr>
              <w:keepNext w:val="0"/>
              <w:keepLines w:val="0"/>
              <w:pageBreakBefore w:val="0"/>
              <w:widowControl w:val="0"/>
              <w:kinsoku/>
              <w:wordWrap/>
              <w:overflowPunct w:val="0"/>
              <w:topLinePunct w:val="0"/>
              <w:autoSpaceDE/>
              <w:autoSpaceDN/>
              <w:bidi w:val="0"/>
              <w:spacing w:line="240" w:lineRule="auto"/>
              <w:ind w:left="0" w:leftChars="0" w:firstLine="0" w:firstLineChars="0"/>
              <w:jc w:val="both"/>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7、实现了施工全过程可视化管控，有效优化方案、减少返工，提升了施工精度与管理效率。、</w:t>
            </w:r>
          </w:p>
        </w:tc>
        <w:tc>
          <w:tcPr>
            <w:tcW w:w="2127" w:type="dxa"/>
            <w:shd w:val="clear" w:color="auto" w:fill="auto"/>
            <w:vAlign w:val="center"/>
          </w:tcPr>
          <w:p w14:paraId="66FEDFE4">
            <w:pPr>
              <w:widowControl w:val="0"/>
              <w:jc w:val="both"/>
              <w:rPr>
                <w:rFonts w:hint="eastAsia" w:ascii="Times New Roman" w:hAnsi="Times New Roman" w:eastAsia="宋体" w:cs="宋体"/>
                <w:bCs/>
                <w:kern w:val="0"/>
                <w:sz w:val="24"/>
                <w:szCs w:val="24"/>
                <w:lang w:val="en-US" w:eastAsia="zh-CN" w:bidi="ar-SA"/>
              </w:rPr>
            </w:pPr>
            <w:r>
              <w:rPr>
                <w:rFonts w:hint="eastAsia" w:ascii="宋体" w:hAnsi="宋体" w:eastAsia="宋体" w:cs="宋体"/>
                <w:sz w:val="24"/>
                <w:szCs w:val="24"/>
                <w:lang w:eastAsia="zh-CN"/>
              </w:rPr>
              <w:drawing>
                <wp:inline distT="0" distB="0" distL="114300" distR="114300">
                  <wp:extent cx="1148715" cy="784860"/>
                  <wp:effectExtent l="0" t="0" r="13335" b="15240"/>
                  <wp:docPr id="53" name="图片 1" descr="1#-2小学教学楼走廊"/>
                  <wp:cNvGraphicFramePr/>
                  <a:graphic xmlns:a="http://schemas.openxmlformats.org/drawingml/2006/main">
                    <a:graphicData uri="http://schemas.openxmlformats.org/drawingml/2006/picture">
                      <pic:pic xmlns:pic="http://schemas.openxmlformats.org/drawingml/2006/picture">
                        <pic:nvPicPr>
                          <pic:cNvPr id="53" name="图片 1" descr="1#-2小学教学楼走廊"/>
                          <pic:cNvPicPr/>
                        </pic:nvPicPr>
                        <pic:blipFill>
                          <a:blip r:embed="rId18"/>
                          <a:stretch>
                            <a:fillRect/>
                          </a:stretch>
                        </pic:blipFill>
                        <pic:spPr>
                          <a:xfrm>
                            <a:off x="0" y="0"/>
                            <a:ext cx="1148715" cy="784860"/>
                          </a:xfrm>
                          <a:prstGeom prst="rect">
                            <a:avLst/>
                          </a:prstGeom>
                          <a:noFill/>
                          <a:ln>
                            <a:noFill/>
                          </a:ln>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1148715" cy="784860"/>
                  <wp:effectExtent l="0" t="0" r="13335" b="15240"/>
                  <wp:docPr id="54" name="图片 2" descr="1#小学教学楼鸟瞰图1"/>
                  <wp:cNvGraphicFramePr/>
                  <a:graphic xmlns:a="http://schemas.openxmlformats.org/drawingml/2006/main">
                    <a:graphicData uri="http://schemas.openxmlformats.org/drawingml/2006/picture">
                      <pic:pic xmlns:pic="http://schemas.openxmlformats.org/drawingml/2006/picture">
                        <pic:nvPicPr>
                          <pic:cNvPr id="54" name="图片 2" descr="1#小学教学楼鸟瞰图1"/>
                          <pic:cNvPicPr/>
                        </pic:nvPicPr>
                        <pic:blipFill>
                          <a:blip r:embed="rId19"/>
                          <a:stretch>
                            <a:fillRect/>
                          </a:stretch>
                        </pic:blipFill>
                        <pic:spPr>
                          <a:xfrm>
                            <a:off x="0" y="0"/>
                            <a:ext cx="1148715" cy="784860"/>
                          </a:xfrm>
                          <a:prstGeom prst="rect">
                            <a:avLst/>
                          </a:prstGeom>
                          <a:noFill/>
                          <a:ln>
                            <a:noFill/>
                          </a:ln>
                        </pic:spPr>
                      </pic:pic>
                    </a:graphicData>
                  </a:graphic>
                </wp:inline>
              </w:drawing>
            </w:r>
          </w:p>
        </w:tc>
        <w:tc>
          <w:tcPr>
            <w:tcW w:w="1897" w:type="dxa"/>
            <w:shd w:val="clear" w:color="auto" w:fill="auto"/>
            <w:vAlign w:val="center"/>
          </w:tcPr>
          <w:p w14:paraId="7C23FA55">
            <w:pPr>
              <w:widowControl w:val="0"/>
              <w:jc w:val="both"/>
              <w:rPr>
                <w:rFonts w:hint="eastAsia" w:ascii="Times New Roman" w:hAnsi="Times New Roman"/>
                <w:sz w:val="24"/>
                <w:lang w:val="en-US" w:eastAsia="zh-CN"/>
              </w:rPr>
            </w:pPr>
            <w:r>
              <w:rPr>
                <w:rFonts w:hint="eastAsia" w:ascii="Times New Roman" w:hAnsi="Times New Roman"/>
                <w:sz w:val="24"/>
              </w:rPr>
              <w:t>图1：</w:t>
            </w:r>
            <w:r>
              <w:rPr>
                <w:rFonts w:hint="eastAsia" w:ascii="Times New Roman" w:hAnsi="Times New Roman"/>
                <w:sz w:val="24"/>
                <w:lang w:val="en-US" w:eastAsia="zh-CN"/>
              </w:rPr>
              <w:t>全景航拍图</w:t>
            </w:r>
          </w:p>
          <w:p w14:paraId="31590320">
            <w:pPr>
              <w:widowControl w:val="0"/>
              <w:jc w:val="both"/>
              <w:rPr>
                <w:rFonts w:hint="default" w:ascii="Times New Roman" w:hAnsi="Times New Roman"/>
                <w:sz w:val="24"/>
                <w:lang w:val="en-US" w:eastAsia="zh-CN"/>
              </w:rPr>
            </w:pPr>
            <w:r>
              <w:rPr>
                <w:rFonts w:hint="eastAsia" w:ascii="Times New Roman" w:hAnsi="Times New Roman"/>
                <w:sz w:val="24"/>
                <w:lang w:val="en-US" w:eastAsia="zh-CN"/>
              </w:rPr>
              <w:t xml:space="preserve"> </w:t>
            </w:r>
          </w:p>
          <w:p w14:paraId="5D1AB288">
            <w:pPr>
              <w:widowControl w:val="0"/>
              <w:jc w:val="both"/>
              <w:rPr>
                <w:rFonts w:hint="eastAsia" w:ascii="Times New Roman" w:hAnsi="Times New Roman" w:eastAsia="宋体" w:cs="宋体"/>
                <w:bCs/>
                <w:kern w:val="0"/>
                <w:sz w:val="24"/>
                <w:szCs w:val="24"/>
                <w:lang w:val="en-US" w:eastAsia="zh-CN" w:bidi="ar-SA"/>
              </w:rPr>
            </w:pPr>
            <w:r>
              <w:rPr>
                <w:rFonts w:hint="eastAsia" w:ascii="Times New Roman" w:hAnsi="Times New Roman"/>
                <w:sz w:val="24"/>
                <w:lang w:val="en-US" w:eastAsia="zh-CN"/>
              </w:rPr>
              <w:t>图</w:t>
            </w:r>
            <w:r>
              <w:rPr>
                <w:rFonts w:hint="eastAsia" w:ascii="Times New Roman" w:hAnsi="Times New Roman"/>
                <w:sz w:val="24"/>
              </w:rPr>
              <w:t>2：</w:t>
            </w:r>
            <w:r>
              <w:rPr>
                <w:rFonts w:hint="eastAsia" w:ascii="Times New Roman" w:hAnsi="Times New Roman"/>
                <w:sz w:val="24"/>
                <w:lang w:val="en-US" w:eastAsia="zh-CN"/>
              </w:rPr>
              <w:t>项目成品照片</w:t>
            </w:r>
          </w:p>
        </w:tc>
      </w:tr>
      <w:tr w14:paraId="0FE9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40C621E1">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宋体" w:hAnsi="宋体" w:eastAsia="宋体" w:cs="宋体"/>
                <w:bCs/>
                <w:color w:val="auto"/>
                <w:kern w:val="0"/>
                <w:sz w:val="24"/>
                <w:szCs w:val="24"/>
                <w:highlight w:val="none"/>
                <w:lang w:val="en-US" w:eastAsia="zh-CN" w:bidi="ar-SA"/>
              </w:rPr>
            </w:pPr>
            <w:r>
              <w:rPr>
                <w:rFonts w:hint="eastAsia" w:cs="宋体"/>
                <w:color w:val="auto"/>
                <w:kern w:val="0"/>
                <w:sz w:val="24"/>
                <w:szCs w:val="24"/>
                <w:highlight w:val="none"/>
                <w:lang w:val="en-US" w:eastAsia="zh-CN"/>
              </w:rPr>
              <w:t>9</w:t>
            </w:r>
          </w:p>
        </w:tc>
        <w:tc>
          <w:tcPr>
            <w:tcW w:w="1353" w:type="dxa"/>
            <w:shd w:val="clear" w:color="auto" w:fill="auto"/>
            <w:vAlign w:val="center"/>
          </w:tcPr>
          <w:p w14:paraId="2F40FB63">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中冶天工集团有限公司</w:t>
            </w:r>
          </w:p>
        </w:tc>
        <w:tc>
          <w:tcPr>
            <w:tcW w:w="1265" w:type="dxa"/>
            <w:shd w:val="clear" w:color="auto" w:fill="auto"/>
            <w:vAlign w:val="center"/>
          </w:tcPr>
          <w:p w14:paraId="121AEEFC">
            <w:pPr>
              <w:keepNext w:val="0"/>
              <w:keepLines w:val="0"/>
              <w:pageBreakBefore w:val="0"/>
              <w:widowControl w:val="0"/>
              <w:kinsoku/>
              <w:wordWrap/>
              <w:overflowPunct w:val="0"/>
              <w:topLinePunct w:val="0"/>
              <w:autoSpaceDE/>
              <w:autoSpaceDN/>
              <w:bidi w:val="0"/>
              <w:spacing w:line="240" w:lineRule="auto"/>
              <w:ind w:left="0" w:leftChars="0" w:firstLine="0" w:firstLineChars="0"/>
              <w:jc w:val="center"/>
              <w:rPr>
                <w:rFonts w:hint="eastAsia" w:ascii="Times New Roman" w:hAnsi="Times New Roman" w:eastAsia="方正仿宋_GBK" w:cs="宋体"/>
                <w:bCs/>
                <w:snapToGrid w:val="0"/>
                <w:color w:val="auto"/>
                <w:kern w:val="0"/>
                <w:sz w:val="24"/>
                <w:szCs w:val="24"/>
                <w:highlight w:val="none"/>
                <w:lang w:val="en-US" w:eastAsia="zh-CN" w:bidi="ar-SA"/>
              </w:rPr>
            </w:pPr>
            <w:r>
              <w:rPr>
                <w:rFonts w:hint="eastAsia" w:cs="宋体"/>
                <w:color w:val="auto"/>
                <w:kern w:val="0"/>
                <w:sz w:val="24"/>
                <w:szCs w:val="24"/>
                <w:highlight w:val="none"/>
                <w:lang w:val="en-US" w:eastAsia="zh-CN"/>
              </w:rPr>
              <w:t>江苏财会职业学院二期工程学生公寓3#楼工程-3#楼及配套用房</w:t>
            </w:r>
          </w:p>
        </w:tc>
        <w:tc>
          <w:tcPr>
            <w:tcW w:w="2176" w:type="dxa"/>
            <w:shd w:val="clear" w:color="auto" w:fill="auto"/>
            <w:vAlign w:val="center"/>
          </w:tcPr>
          <w:p w14:paraId="5AE61A62">
            <w:pPr>
              <w:keepNext w:val="0"/>
              <w:keepLines w:val="0"/>
              <w:widowControl/>
              <w:suppressLineNumbers w:val="0"/>
              <w:jc w:val="left"/>
              <w:rPr>
                <w:rFonts w:hint="eastAsia" w:ascii="Times New Roman" w:hAnsi="Times New Roman" w:eastAsia="宋体" w:cs="宋体"/>
                <w:b/>
                <w:bCs w:val="0"/>
                <w:iCs/>
                <w:kern w:val="2"/>
                <w:sz w:val="24"/>
                <w:szCs w:val="24"/>
                <w:lang w:val="en-US" w:eastAsia="zh-CN" w:bidi="ar-SA"/>
              </w:rPr>
            </w:pPr>
            <w:r>
              <w:rPr>
                <w:rFonts w:hint="eastAsia" w:ascii="宋体" w:hAnsi="宋体" w:eastAsia="宋体" w:cs="宋体"/>
                <w:bCs/>
                <w:color w:val="000000"/>
                <w:kern w:val="0"/>
                <w:sz w:val="24"/>
                <w:szCs w:val="24"/>
                <w:lang w:val="en-US" w:eastAsia="zh-CN" w:bidi="ar"/>
              </w:rPr>
              <w:t>总建筑面积</w:t>
            </w:r>
            <w:r>
              <w:rPr>
                <w:rFonts w:hint="eastAsia" w:cs="宋体"/>
                <w:bCs/>
                <w:color w:val="000000"/>
                <w:kern w:val="0"/>
                <w:sz w:val="24"/>
                <w:szCs w:val="24"/>
                <w:lang w:val="en-US" w:eastAsia="zh-CN" w:bidi="ar"/>
              </w:rPr>
              <w:t>：</w:t>
            </w:r>
            <w:r>
              <w:rPr>
                <w:rFonts w:hint="eastAsia" w:ascii="宋体" w:hAnsi="宋体" w:eastAsia="宋体" w:cs="宋体"/>
                <w:bCs/>
                <w:color w:val="000000"/>
                <w:kern w:val="0"/>
                <w:sz w:val="24"/>
                <w:szCs w:val="24"/>
                <w:lang w:val="en-US" w:eastAsia="zh-CN" w:bidi="ar"/>
              </w:rPr>
              <w:t>20280.22㎡</w:t>
            </w:r>
            <w:r>
              <w:rPr>
                <w:rFonts w:hint="eastAsia" w:cs="宋体"/>
                <w:bCs/>
                <w:color w:val="000000"/>
                <w:kern w:val="0"/>
                <w:sz w:val="24"/>
                <w:szCs w:val="24"/>
                <w:lang w:val="en-US" w:eastAsia="zh-CN" w:bidi="ar"/>
              </w:rPr>
              <w:t>，</w:t>
            </w:r>
            <w:r>
              <w:rPr>
                <w:rFonts w:hint="eastAsia" w:ascii="宋体" w:hAnsi="宋体" w:eastAsia="宋体" w:cs="宋体"/>
                <w:bCs/>
                <w:color w:val="000000"/>
                <w:kern w:val="0"/>
                <w:sz w:val="24"/>
                <w:szCs w:val="24"/>
                <w:lang w:val="en-US" w:eastAsia="zh-CN" w:bidi="ar"/>
              </w:rPr>
              <w:t>包含所有建筑物的土建、安装（水电、消防、智能化等）、室内精装修、外装饰、 暖通空调(不含空调设备）、电梯、配电、外接水等工程施工，以及室外景观绿化、道路、室外管网、广场、停车场、海绵城市等室外工程施工</w:t>
            </w:r>
            <w:r>
              <w:rPr>
                <w:rFonts w:hint="eastAsia" w:cs="宋体"/>
                <w:bCs/>
                <w:color w:val="000000"/>
                <w:kern w:val="0"/>
                <w:sz w:val="24"/>
                <w:szCs w:val="24"/>
                <w:lang w:val="en-US" w:eastAsia="zh-CN" w:bidi="ar"/>
              </w:rPr>
              <w:t>等</w:t>
            </w:r>
          </w:p>
        </w:tc>
        <w:tc>
          <w:tcPr>
            <w:tcW w:w="1133" w:type="dxa"/>
            <w:shd w:val="clear" w:color="auto" w:fill="auto"/>
            <w:vAlign w:val="center"/>
          </w:tcPr>
          <w:p w14:paraId="45E13799">
            <w:pPr>
              <w:widowControl w:val="0"/>
              <w:rPr>
                <w:rFonts w:hint="eastAsia" w:ascii="Times New Roman" w:hAnsi="Times New Roman" w:eastAsia="宋体" w:cs="宋体"/>
                <w:kern w:val="0"/>
                <w:sz w:val="24"/>
                <w:lang w:val="en-US" w:eastAsia="zh-CN"/>
              </w:rPr>
            </w:pPr>
            <w:r>
              <w:rPr>
                <w:rFonts w:hint="eastAsia" w:ascii="Times New Roman" w:hAnsi="Times New Roman" w:eastAsia="宋体" w:cs="宋体"/>
                <w:kern w:val="0"/>
                <w:sz w:val="24"/>
                <w:lang w:val="en-US" w:eastAsia="zh-CN"/>
              </w:rPr>
              <w:t>2024年8月30日</w:t>
            </w:r>
          </w:p>
        </w:tc>
        <w:tc>
          <w:tcPr>
            <w:tcW w:w="1691" w:type="dxa"/>
            <w:shd w:val="clear" w:color="auto" w:fill="auto"/>
            <w:vAlign w:val="center"/>
          </w:tcPr>
          <w:p w14:paraId="697B26A9">
            <w:pPr>
              <w:widowControl w:val="0"/>
              <w:jc w:val="left"/>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1、因柱与梁混凝土标号不同，项目部通过自主技术创新，采用气囊进行分隔，使用完后将气囊放气拿出，待后续施工继续使用。</w:t>
            </w:r>
          </w:p>
          <w:p w14:paraId="4471491F">
            <w:pPr>
              <w:pStyle w:val="28"/>
              <w:widowControl w:val="0"/>
              <w:ind w:left="0" w:leftChars="0" w:firstLine="0" w:firstLineChars="0"/>
              <w:jc w:val="left"/>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eastAsia="宋体" w:cs="宋体"/>
                <w:bCs/>
                <w:snapToGrid w:val="0"/>
                <w:kern w:val="0"/>
                <w:sz w:val="24"/>
                <w:szCs w:val="24"/>
                <w:lang w:val="en-US" w:eastAsia="zh-CN" w:bidi="ar-SA"/>
              </w:rPr>
              <w:t>2、本项目内外架全部应用销键型脚手架。</w:t>
            </w:r>
          </w:p>
          <w:p w14:paraId="1BC6585B">
            <w:pPr>
              <w:widowControl w:val="0"/>
              <w:jc w:val="left"/>
              <w:rPr>
                <w:rFonts w:hint="eastAsia" w:ascii="Times New Roman" w:hAnsi="Times New Roman" w:eastAsia="宋体" w:cs="宋体"/>
                <w:snapToGrid w:val="0"/>
                <w:kern w:val="0"/>
                <w:sz w:val="24"/>
                <w:lang w:val="en-US" w:eastAsia="zh-CN"/>
              </w:rPr>
            </w:pPr>
            <w:r>
              <w:rPr>
                <w:rFonts w:hint="eastAsia" w:ascii="Times New Roman" w:hAnsi="Times New Roman" w:eastAsia="宋体" w:cs="宋体"/>
                <w:snapToGrid w:val="0"/>
                <w:kern w:val="0"/>
                <w:sz w:val="24"/>
                <w:lang w:val="en-US" w:eastAsia="zh-CN"/>
              </w:rPr>
              <w:t>3、本项目外墙采用专利技术Z字形自保温砌块，并辅以相应的节点保温构造措施。</w:t>
            </w:r>
          </w:p>
          <w:p w14:paraId="24B87344">
            <w:pPr>
              <w:widowControl w:val="0"/>
              <w:jc w:val="left"/>
              <w:rPr>
                <w:rFonts w:hint="eastAsia" w:ascii="Times New Roman" w:hAnsi="Times New Roman" w:eastAsia="宋体" w:cs="宋体"/>
                <w:bCs/>
                <w:snapToGrid w:val="0"/>
                <w:kern w:val="0"/>
                <w:sz w:val="24"/>
                <w:szCs w:val="24"/>
                <w:lang w:val="en-US" w:eastAsia="zh-CN" w:bidi="ar-SA"/>
              </w:rPr>
            </w:pPr>
          </w:p>
        </w:tc>
        <w:tc>
          <w:tcPr>
            <w:tcW w:w="1852" w:type="dxa"/>
            <w:shd w:val="clear" w:color="auto" w:fill="auto"/>
            <w:vAlign w:val="center"/>
          </w:tcPr>
          <w:p w14:paraId="10850060">
            <w:pPr>
              <w:widowControl w:val="0"/>
              <w:numPr>
                <w:ilvl w:val="0"/>
                <w:numId w:val="2"/>
              </w:numPr>
              <w:jc w:val="both"/>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通过使用对比及质量控制，节省人工，分隔效果较好，质量满足要求，而且可重复使用，节省材料。</w:t>
            </w:r>
          </w:p>
          <w:p w14:paraId="5E9734FC">
            <w:pPr>
              <w:widowControl w:val="0"/>
              <w:jc w:val="both"/>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2、</w:t>
            </w:r>
            <w:r>
              <w:rPr>
                <w:rFonts w:hint="eastAsia" w:ascii="Times New Roman" w:hAnsi="Times New Roman" w:eastAsia="宋体" w:cs="宋体"/>
                <w:bCs/>
                <w:snapToGrid w:val="0"/>
                <w:kern w:val="0"/>
                <w:sz w:val="24"/>
                <w:szCs w:val="24"/>
                <w:lang w:val="en-US" w:eastAsia="zh-CN" w:bidi="ar-SA"/>
              </w:rPr>
              <w:t>有效缩短搭设时间，提高脚手架整体安全性。</w:t>
            </w:r>
          </w:p>
          <w:p w14:paraId="4EA9DD7C">
            <w:pPr>
              <w:widowControl w:val="0"/>
              <w:jc w:val="both"/>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3、</w:t>
            </w:r>
            <w:r>
              <w:rPr>
                <w:rFonts w:hint="eastAsia" w:ascii="Times New Roman" w:hAnsi="Times New Roman" w:eastAsia="宋体" w:cs="宋体"/>
                <w:snapToGrid w:val="0"/>
                <w:kern w:val="0"/>
                <w:sz w:val="24"/>
                <w:lang w:val="en-US" w:eastAsia="zh-CN"/>
              </w:rPr>
              <w:t>对墙体材料提出了更高的热工性能要求，以满足节能设计标准的要求。</w:t>
            </w:r>
          </w:p>
        </w:tc>
        <w:tc>
          <w:tcPr>
            <w:tcW w:w="2127" w:type="dxa"/>
            <w:shd w:val="clear" w:color="auto" w:fill="auto"/>
            <w:vAlign w:val="center"/>
          </w:tcPr>
          <w:p w14:paraId="38D8D524">
            <w:pPr>
              <w:widowControl w:val="0"/>
              <w:rPr>
                <w:rFonts w:hint="eastAsia" w:ascii="Times New Roman" w:hAnsi="Times New Roman" w:eastAsia="宋体" w:cs="宋体"/>
                <w:bCs/>
                <w:kern w:val="0"/>
                <w:sz w:val="24"/>
                <w:szCs w:val="24"/>
                <w:lang w:val="en-US" w:eastAsia="zh-CN" w:bidi="ar-SA"/>
              </w:rPr>
            </w:pPr>
            <w:r>
              <w:drawing>
                <wp:inline distT="0" distB="0" distL="114300" distR="114300">
                  <wp:extent cx="1119505" cy="839470"/>
                  <wp:effectExtent l="0" t="0" r="4445" b="1778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20"/>
                          <a:stretch>
                            <a:fillRect/>
                          </a:stretch>
                        </pic:blipFill>
                        <pic:spPr>
                          <a:xfrm>
                            <a:off x="0" y="0"/>
                            <a:ext cx="1119505" cy="839470"/>
                          </a:xfrm>
                          <a:prstGeom prst="rect">
                            <a:avLst/>
                          </a:prstGeom>
                        </pic:spPr>
                      </pic:pic>
                    </a:graphicData>
                  </a:graphic>
                </wp:inline>
              </w:drawing>
            </w:r>
            <w:r>
              <w:drawing>
                <wp:inline distT="0" distB="0" distL="114300" distR="114300">
                  <wp:extent cx="1078865" cy="808990"/>
                  <wp:effectExtent l="0" t="0" r="6985" b="1016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21"/>
                          <a:stretch>
                            <a:fillRect/>
                          </a:stretch>
                        </pic:blipFill>
                        <pic:spPr>
                          <a:xfrm>
                            <a:off x="0" y="0"/>
                            <a:ext cx="1078865" cy="808990"/>
                          </a:xfrm>
                          <a:prstGeom prst="rect">
                            <a:avLst/>
                          </a:prstGeom>
                        </pic:spPr>
                      </pic:pic>
                    </a:graphicData>
                  </a:graphic>
                </wp:inline>
              </w:drawing>
            </w:r>
          </w:p>
        </w:tc>
        <w:tc>
          <w:tcPr>
            <w:tcW w:w="1897" w:type="dxa"/>
            <w:shd w:val="clear" w:color="auto" w:fill="auto"/>
            <w:vAlign w:val="center"/>
          </w:tcPr>
          <w:p w14:paraId="7A5EFF84">
            <w:pPr>
              <w:widowControl w:val="0"/>
              <w:jc w:val="both"/>
              <w:rPr>
                <w:rFonts w:ascii="Times New Roman" w:hAnsi="Times New Roman"/>
                <w:snapToGrid w:val="0"/>
                <w:kern w:val="0"/>
                <w:sz w:val="24"/>
              </w:rPr>
            </w:pPr>
            <w:r>
              <w:rPr>
                <w:rFonts w:hint="eastAsia" w:ascii="Times New Roman" w:hAnsi="Times New Roman"/>
                <w:sz w:val="24"/>
              </w:rPr>
              <w:t xml:space="preserve">图1：外墙整体GRC线条清晰、顺直挺拔，横平竖直，真石漆涂料⾊泽均匀，无色差，整体美观大方，与学校整体风格融为一体。 </w:t>
            </w:r>
          </w:p>
          <w:p w14:paraId="34A49B56">
            <w:pPr>
              <w:widowControl w:val="0"/>
              <w:jc w:val="both"/>
              <w:rPr>
                <w:rFonts w:ascii="Times New Roman" w:hAnsi="Times New Roman"/>
                <w:sz w:val="24"/>
              </w:rPr>
            </w:pPr>
            <w:r>
              <w:rPr>
                <w:rFonts w:hint="eastAsia" w:ascii="Times New Roman" w:hAnsi="Times New Roman"/>
                <w:sz w:val="24"/>
              </w:rPr>
              <w:t>图2：墙⾯、顶棚平整，阴阳⻆⽅正顺直，地砖铺贴平整牢固，缝隙均匀⼀致，门窗安装牢固，防水密封性好，开关灵活，五金件经久耐⽤。</w:t>
            </w:r>
          </w:p>
          <w:p w14:paraId="046FBD99">
            <w:pPr>
              <w:widowControl w:val="0"/>
              <w:jc w:val="both"/>
              <w:rPr>
                <w:rFonts w:hint="eastAsia" w:ascii="Times New Roman" w:hAnsi="Times New Roman" w:eastAsia="宋体" w:cs="宋体"/>
                <w:bCs/>
                <w:kern w:val="0"/>
                <w:sz w:val="24"/>
                <w:szCs w:val="24"/>
                <w:lang w:val="en-US" w:eastAsia="zh-CN" w:bidi="ar-SA"/>
              </w:rPr>
            </w:pPr>
          </w:p>
        </w:tc>
      </w:tr>
      <w:tr w14:paraId="5611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7EE3CC0">
            <w:pPr>
              <w:widowControl w:val="0"/>
              <w:rPr>
                <w:rFonts w:hint="default" w:ascii="Times New Roman" w:hAnsi="Times New Roman" w:eastAsia="宋体"/>
                <w:kern w:val="0"/>
                <w:sz w:val="24"/>
                <w:lang w:val="en-US" w:eastAsia="zh-CN"/>
              </w:rPr>
            </w:pPr>
            <w:r>
              <w:rPr>
                <w:rFonts w:hint="eastAsia" w:ascii="Times New Roman" w:hAnsi="Times New Roman"/>
                <w:kern w:val="0"/>
                <w:sz w:val="24"/>
                <w:lang w:val="en-US" w:eastAsia="zh-CN"/>
              </w:rPr>
              <w:t>10</w:t>
            </w:r>
          </w:p>
        </w:tc>
        <w:tc>
          <w:tcPr>
            <w:tcW w:w="1353" w:type="dxa"/>
            <w:shd w:val="clear" w:color="auto" w:fill="auto"/>
            <w:vAlign w:val="center"/>
          </w:tcPr>
          <w:p w14:paraId="30F398C8">
            <w:pPr>
              <w:widowControl w:val="0"/>
              <w:rPr>
                <w:rFonts w:hint="eastAsia" w:ascii="Times New Roman" w:hAnsi="Times New Roman" w:eastAsia="宋体" w:cs="宋体"/>
                <w:bCs/>
                <w:kern w:val="0"/>
                <w:sz w:val="24"/>
                <w:szCs w:val="24"/>
                <w:lang w:val="en-US" w:eastAsia="zh-CN" w:bidi="ar-SA"/>
              </w:rPr>
            </w:pPr>
            <w:r>
              <w:rPr>
                <w:rFonts w:hint="eastAsia"/>
                <w:spacing w:val="-13"/>
                <w:sz w:val="24"/>
                <w:szCs w:val="24"/>
                <w:lang w:val="en-US" w:eastAsia="zh-CN"/>
              </w:rPr>
              <w:t>连云港市房政建设工程有限公司</w:t>
            </w:r>
          </w:p>
        </w:tc>
        <w:tc>
          <w:tcPr>
            <w:tcW w:w="1265" w:type="dxa"/>
            <w:shd w:val="clear" w:color="auto" w:fill="auto"/>
            <w:vAlign w:val="center"/>
          </w:tcPr>
          <w:p w14:paraId="403DC8FA">
            <w:pPr>
              <w:widowControl w:val="0"/>
              <w:rPr>
                <w:rFonts w:hint="eastAsia" w:ascii="Times New Roman" w:hAnsi="Times New Roman" w:eastAsia="宋体" w:cs="宋体"/>
                <w:bCs/>
                <w:kern w:val="0"/>
                <w:sz w:val="24"/>
                <w:szCs w:val="24"/>
                <w:lang w:val="en-US" w:eastAsia="zh-CN" w:bidi="ar-SA"/>
              </w:rPr>
            </w:pPr>
            <w:r>
              <w:rPr>
                <w:rFonts w:hint="eastAsia"/>
                <w:spacing w:val="-13"/>
                <w:sz w:val="24"/>
                <w:szCs w:val="24"/>
                <w:lang w:val="en-US" w:eastAsia="zh-CN"/>
              </w:rPr>
              <w:t>金海福邸1#-3#、6#-13#、15#-23#、25#、28#-31#、36#、 37#楼</w:t>
            </w:r>
          </w:p>
        </w:tc>
        <w:tc>
          <w:tcPr>
            <w:tcW w:w="2176" w:type="dxa"/>
            <w:shd w:val="clear" w:color="auto" w:fill="auto"/>
            <w:vAlign w:val="center"/>
          </w:tcPr>
          <w:p w14:paraId="1110069C">
            <w:pPr>
              <w:widowControl w:val="0"/>
              <w:rPr>
                <w:rFonts w:hint="eastAsia" w:ascii="宋体" w:hAnsi="宋体" w:eastAsia="宋体" w:cs="宋体"/>
                <w:spacing w:val="-13"/>
                <w:sz w:val="24"/>
                <w:szCs w:val="24"/>
                <w:lang w:val="en-US" w:eastAsia="zh-CN"/>
              </w:rPr>
            </w:pPr>
            <w:r>
              <w:rPr>
                <w:rFonts w:hint="eastAsia" w:ascii="宋体" w:hAnsi="宋体" w:eastAsia="宋体" w:cs="宋体"/>
                <w:spacing w:val="-13"/>
                <w:sz w:val="24"/>
                <w:szCs w:val="24"/>
                <w:lang w:val="en-US" w:eastAsia="zh-CN"/>
              </w:rPr>
              <w:t>金海福邸项目位于高新区科苑路、郁林路以西（职大东北侧）；总建筑面积266221.72平方米，占地面积为109075.48㎡，其中地上184947.01平米，地下81274.71平米。其中4层19栋、6层3栋、8层6栋、26层7栋。本工程主体结构设计合理使用年限为 50 年，结构安全等级二级， 地基基础设计等级甲级，建筑抗震设防类别标准设防类（丙类），抗震构造措施采用的抗震等级四级，建筑耐火等级为地上二级，地下一级。</w:t>
            </w:r>
          </w:p>
          <w:p w14:paraId="251A180C">
            <w:pPr>
              <w:widowControl w:val="0"/>
              <w:rPr>
                <w:rFonts w:hint="eastAsia" w:ascii="Times New Roman" w:hAnsi="Times New Roman" w:eastAsia="宋体" w:cs="宋体"/>
                <w:bCs/>
                <w:iCs/>
                <w:kern w:val="2"/>
                <w:sz w:val="24"/>
                <w:szCs w:val="24"/>
                <w:lang w:val="en-US" w:eastAsia="zh-CN" w:bidi="ar-SA"/>
              </w:rPr>
            </w:pPr>
          </w:p>
        </w:tc>
        <w:tc>
          <w:tcPr>
            <w:tcW w:w="1133" w:type="dxa"/>
            <w:shd w:val="clear" w:color="auto" w:fill="auto"/>
            <w:vAlign w:val="center"/>
          </w:tcPr>
          <w:p w14:paraId="2F673B06">
            <w:pPr>
              <w:widowControl w:val="0"/>
              <w:rPr>
                <w:rFonts w:hint="eastAsia" w:ascii="Times New Roman" w:hAnsi="Times New Roman" w:eastAsia="宋体" w:cs="宋体"/>
                <w:kern w:val="0"/>
                <w:sz w:val="24"/>
                <w:lang w:val="en-US" w:eastAsia="zh-CN"/>
              </w:rPr>
            </w:pPr>
            <w:r>
              <w:rPr>
                <w:rFonts w:hint="eastAsia" w:ascii="Times New Roman" w:hAnsi="Times New Roman" w:eastAsia="宋体" w:cs="宋体"/>
                <w:kern w:val="0"/>
                <w:sz w:val="24"/>
                <w:lang w:val="en-US" w:eastAsia="zh-CN"/>
              </w:rPr>
              <w:t>2024年12月02日</w:t>
            </w:r>
          </w:p>
        </w:tc>
        <w:tc>
          <w:tcPr>
            <w:tcW w:w="1691" w:type="dxa"/>
            <w:shd w:val="clear" w:color="auto" w:fill="auto"/>
            <w:vAlign w:val="center"/>
          </w:tcPr>
          <w:p w14:paraId="7CB56CE1">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1、31#36#37#楼26层的高层，使用爬架及外墙混凝土一次成型的铝膜技术。</w:t>
            </w:r>
          </w:p>
          <w:p w14:paraId="5E29F25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2、内墙ALC墙板及石膏砂浆抹灰</w:t>
            </w:r>
          </w:p>
          <w:p w14:paraId="6313C44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3、装配式楼梯及叠合板</w:t>
            </w:r>
          </w:p>
        </w:tc>
        <w:tc>
          <w:tcPr>
            <w:tcW w:w="1852" w:type="dxa"/>
            <w:shd w:val="clear" w:color="auto" w:fill="auto"/>
            <w:vAlign w:val="center"/>
          </w:tcPr>
          <w:p w14:paraId="3212DE60">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1、31#36#37#楼26层的高层，使用爬架及外墙混凝土一次成型的铝膜技术。节约外墙抹灰成本，减少外墙渗漏水，整体结构更好，外窗铝膜企口一次成型，防水效果更好。</w:t>
            </w:r>
          </w:p>
          <w:p w14:paraId="2A332DC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2、内墙ALC墙板及石膏砂浆抹灰，轻质且没有传统水泥砂浆的空鼓问题</w:t>
            </w:r>
          </w:p>
          <w:p w14:paraId="2438678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3、装配式楼梯及叠合板满足装配率的要求</w:t>
            </w:r>
          </w:p>
        </w:tc>
        <w:tc>
          <w:tcPr>
            <w:tcW w:w="2127" w:type="dxa"/>
            <w:shd w:val="clear" w:color="auto" w:fill="auto"/>
            <w:vAlign w:val="center"/>
          </w:tcPr>
          <w:p w14:paraId="1275CE1C">
            <w:pPr>
              <w:widowControl w:val="0"/>
              <w:jc w:val="both"/>
              <w:rPr>
                <w:rFonts w:hint="eastAsia" w:ascii="Times New Roman" w:hAnsi="Times New Roman"/>
                <w:snapToGrid w:val="0"/>
                <w:kern w:val="0"/>
                <w:sz w:val="24"/>
                <w:lang w:val="en-US" w:eastAsia="zh-CN"/>
              </w:rPr>
            </w:pPr>
          </w:p>
          <w:p w14:paraId="5987D0D1">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drawing>
                <wp:inline distT="0" distB="0" distL="114300" distR="114300">
                  <wp:extent cx="1109980" cy="861695"/>
                  <wp:effectExtent l="0" t="0" r="13970" b="14605"/>
                  <wp:docPr id="15" name="图片 15" descr="6c9039c0d05790d3fc1d8261a71a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c9039c0d05790d3fc1d8261a71a736"/>
                          <pic:cNvPicPr>
                            <a:picLocks noChangeAspect="1"/>
                          </pic:cNvPicPr>
                        </pic:nvPicPr>
                        <pic:blipFill>
                          <a:blip r:embed="rId22"/>
                          <a:stretch>
                            <a:fillRect/>
                          </a:stretch>
                        </pic:blipFill>
                        <pic:spPr>
                          <a:xfrm>
                            <a:off x="0" y="0"/>
                            <a:ext cx="1109980" cy="861695"/>
                          </a:xfrm>
                          <a:prstGeom prst="rect">
                            <a:avLst/>
                          </a:prstGeom>
                        </pic:spPr>
                      </pic:pic>
                    </a:graphicData>
                  </a:graphic>
                </wp:inline>
              </w:drawing>
            </w:r>
            <w:r>
              <w:rPr>
                <w:rFonts w:ascii="Times New Roman" w:hAnsi="Times New Roman"/>
                <w:kern w:val="0"/>
                <w:sz w:val="24"/>
              </w:rPr>
              <w:drawing>
                <wp:anchor distT="0" distB="0" distL="114300" distR="114300" simplePos="0" relativeHeight="251659264" behindDoc="0" locked="0" layoutInCell="1" allowOverlap="1">
                  <wp:simplePos x="0" y="0"/>
                  <wp:positionH relativeFrom="column">
                    <wp:posOffset>15875</wp:posOffset>
                  </wp:positionH>
                  <wp:positionV relativeFrom="paragraph">
                    <wp:posOffset>48895</wp:posOffset>
                  </wp:positionV>
                  <wp:extent cx="1178560" cy="777240"/>
                  <wp:effectExtent l="0" t="0" r="2540" b="3810"/>
                  <wp:wrapTopAndBottom/>
                  <wp:docPr id="17" name="图片 17" descr="剪力墙铝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剪力墙铝膜"/>
                          <pic:cNvPicPr>
                            <a:picLocks noChangeAspect="1"/>
                          </pic:cNvPicPr>
                        </pic:nvPicPr>
                        <pic:blipFill>
                          <a:blip r:embed="rId23"/>
                          <a:stretch>
                            <a:fillRect/>
                          </a:stretch>
                        </pic:blipFill>
                        <pic:spPr>
                          <a:xfrm>
                            <a:off x="0" y="0"/>
                            <a:ext cx="1178560" cy="777240"/>
                          </a:xfrm>
                          <a:prstGeom prst="rect">
                            <a:avLst/>
                          </a:prstGeom>
                        </pic:spPr>
                      </pic:pic>
                    </a:graphicData>
                  </a:graphic>
                </wp:anchor>
              </w:drawing>
            </w:r>
          </w:p>
          <w:p w14:paraId="498960FA">
            <w:pPr>
              <w:widowControl w:val="0"/>
            </w:pPr>
            <w:r>
              <w:rPr>
                <w:rFonts w:hint="eastAsia" w:ascii="Times New Roman" w:hAnsi="Times New Roman"/>
                <w:snapToGrid w:val="0"/>
                <w:kern w:val="0"/>
                <w:sz w:val="24"/>
                <w:lang w:val="en-US" w:eastAsia="zh-CN"/>
              </w:rPr>
              <w:drawing>
                <wp:inline distT="0" distB="0" distL="114300" distR="114300">
                  <wp:extent cx="1177925" cy="812800"/>
                  <wp:effectExtent l="0" t="0" r="3175" b="6350"/>
                  <wp:docPr id="18" name="图片 18" descr="ALC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LC安装"/>
                          <pic:cNvPicPr>
                            <a:picLocks noChangeAspect="1"/>
                          </pic:cNvPicPr>
                        </pic:nvPicPr>
                        <pic:blipFill>
                          <a:blip r:embed="rId24"/>
                          <a:stretch>
                            <a:fillRect/>
                          </a:stretch>
                        </pic:blipFill>
                        <pic:spPr>
                          <a:xfrm>
                            <a:off x="0" y="0"/>
                            <a:ext cx="1177925" cy="812800"/>
                          </a:xfrm>
                          <a:prstGeom prst="rect">
                            <a:avLst/>
                          </a:prstGeom>
                        </pic:spPr>
                      </pic:pic>
                    </a:graphicData>
                  </a:graphic>
                </wp:inline>
              </w:drawing>
            </w:r>
            <w:r>
              <w:drawing>
                <wp:inline distT="0" distB="0" distL="114300" distR="114300">
                  <wp:extent cx="1057275" cy="1053465"/>
                  <wp:effectExtent l="0" t="0" r="9525" b="13335"/>
                  <wp:docPr id="19" name="图片 19" descr="05578afacf9282fd254b2d386167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5578afacf9282fd254b2d3861679a2"/>
                          <pic:cNvPicPr>
                            <a:picLocks noChangeAspect="1"/>
                          </pic:cNvPicPr>
                        </pic:nvPicPr>
                        <pic:blipFill>
                          <a:blip r:embed="rId25"/>
                          <a:stretch>
                            <a:fillRect/>
                          </a:stretch>
                        </pic:blipFill>
                        <pic:spPr>
                          <a:xfrm>
                            <a:off x="0" y="0"/>
                            <a:ext cx="1057275" cy="1053465"/>
                          </a:xfrm>
                          <a:prstGeom prst="rect">
                            <a:avLst/>
                          </a:prstGeom>
                        </pic:spPr>
                      </pic:pic>
                    </a:graphicData>
                  </a:graphic>
                </wp:inline>
              </w:drawing>
            </w:r>
          </w:p>
          <w:p w14:paraId="37E74FDD">
            <w:pPr>
              <w:widowControl w:val="0"/>
            </w:pPr>
            <w:r>
              <w:drawing>
                <wp:inline distT="0" distB="0" distL="114300" distR="114300">
                  <wp:extent cx="1260475" cy="845185"/>
                  <wp:effectExtent l="0" t="0" r="15875" b="12065"/>
                  <wp:docPr id="32" name="图片 32" descr="8cb9924ece5e12c37f2453a3f08f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cb9924ece5e12c37f2453a3f08fc9e"/>
                          <pic:cNvPicPr>
                            <a:picLocks noChangeAspect="1"/>
                          </pic:cNvPicPr>
                        </pic:nvPicPr>
                        <pic:blipFill>
                          <a:blip r:embed="rId26"/>
                          <a:stretch>
                            <a:fillRect/>
                          </a:stretch>
                        </pic:blipFill>
                        <pic:spPr>
                          <a:xfrm>
                            <a:off x="0" y="0"/>
                            <a:ext cx="1260475" cy="845185"/>
                          </a:xfrm>
                          <a:prstGeom prst="rect">
                            <a:avLst/>
                          </a:prstGeom>
                        </pic:spPr>
                      </pic:pic>
                    </a:graphicData>
                  </a:graphic>
                </wp:inline>
              </w:drawing>
            </w:r>
          </w:p>
          <w:p w14:paraId="6BA8C945">
            <w:pPr>
              <w:pStyle w:val="12"/>
              <w:widowControl w:val="0"/>
              <w:ind w:firstLine="210" w:firstLineChars="100"/>
              <w:rPr>
                <w:rFonts w:hint="eastAsia" w:ascii="宋体" w:hAnsi="宋体" w:eastAsia="宋体" w:cs="宋体"/>
                <w:bCs/>
                <w:kern w:val="2"/>
                <w:sz w:val="21"/>
                <w:szCs w:val="24"/>
                <w:lang w:val="en-US" w:eastAsia="zh-CN" w:bidi="ar-SA"/>
              </w:rPr>
            </w:pPr>
            <w:r>
              <w:drawing>
                <wp:inline distT="0" distB="0" distL="114300" distR="114300">
                  <wp:extent cx="1202055" cy="676275"/>
                  <wp:effectExtent l="0" t="0" r="17145" b="9525"/>
                  <wp:docPr id="33" name="图片 33" descr="1ea21600da6f68657d0b8e5a9ebe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ea21600da6f68657d0b8e5a9ebefbb"/>
                          <pic:cNvPicPr>
                            <a:picLocks noChangeAspect="1"/>
                          </pic:cNvPicPr>
                        </pic:nvPicPr>
                        <pic:blipFill>
                          <a:blip r:embed="rId27"/>
                          <a:stretch>
                            <a:fillRect/>
                          </a:stretch>
                        </pic:blipFill>
                        <pic:spPr>
                          <a:xfrm>
                            <a:off x="0" y="0"/>
                            <a:ext cx="1202055" cy="676275"/>
                          </a:xfrm>
                          <a:prstGeom prst="rect">
                            <a:avLst/>
                          </a:prstGeom>
                        </pic:spPr>
                      </pic:pic>
                    </a:graphicData>
                  </a:graphic>
                </wp:inline>
              </w:drawing>
            </w:r>
          </w:p>
        </w:tc>
        <w:tc>
          <w:tcPr>
            <w:tcW w:w="1897" w:type="dxa"/>
            <w:shd w:val="clear" w:color="auto" w:fill="auto"/>
            <w:vAlign w:val="center"/>
          </w:tcPr>
          <w:p w14:paraId="1EC215D1">
            <w:pPr>
              <w:widowControl w:val="0"/>
              <w:rPr>
                <w:rFonts w:ascii="Times New Roman" w:hAnsi="Times New Roman"/>
                <w:snapToGrid w:val="0"/>
                <w:kern w:val="0"/>
                <w:sz w:val="24"/>
              </w:rPr>
            </w:pPr>
            <w:r>
              <w:rPr>
                <w:rFonts w:hint="eastAsia" w:ascii="Times New Roman" w:hAnsi="Times New Roman"/>
                <w:sz w:val="24"/>
              </w:rPr>
              <w:t>图1：</w:t>
            </w:r>
            <w:r>
              <w:rPr>
                <w:rFonts w:hint="eastAsia" w:ascii="Times New Roman" w:hAnsi="Times New Roman"/>
                <w:sz w:val="24"/>
                <w:lang w:val="en-US" w:eastAsia="zh-CN"/>
              </w:rPr>
              <w:t>高层外墙及结构</w:t>
            </w:r>
            <w:r>
              <w:rPr>
                <w:rFonts w:hint="eastAsia" w:ascii="Times New Roman" w:hAnsi="Times New Roman"/>
                <w:snapToGrid w:val="0"/>
                <w:kern w:val="0"/>
                <w:sz w:val="24"/>
                <w:lang w:val="en-US" w:eastAsia="zh-CN"/>
              </w:rPr>
              <w:t>铝膜</w:t>
            </w:r>
          </w:p>
          <w:p w14:paraId="24EB02E7">
            <w:pPr>
              <w:widowControl w:val="0"/>
              <w:rPr>
                <w:rFonts w:hint="default" w:ascii="Times New Roman" w:hAnsi="Times New Roman"/>
                <w:sz w:val="24"/>
                <w:lang w:val="en-US"/>
              </w:rPr>
            </w:pPr>
            <w:r>
              <w:rPr>
                <w:rFonts w:hint="eastAsia" w:ascii="Times New Roman" w:hAnsi="Times New Roman"/>
                <w:sz w:val="24"/>
              </w:rPr>
              <w:t>图2：</w:t>
            </w:r>
            <w:r>
              <w:rPr>
                <w:rFonts w:hint="eastAsia" w:ascii="Times New Roman" w:hAnsi="Times New Roman"/>
                <w:snapToGrid w:val="0"/>
                <w:kern w:val="0"/>
                <w:sz w:val="24"/>
                <w:lang w:val="en-US" w:eastAsia="zh-CN"/>
              </w:rPr>
              <w:t>外墙爬架</w:t>
            </w:r>
            <w:r>
              <w:rPr>
                <w:rFonts w:hint="eastAsia" w:ascii="Times New Roman" w:hAnsi="Times New Roman"/>
                <w:sz w:val="24"/>
              </w:rPr>
              <w:t>图</w:t>
            </w:r>
            <w:r>
              <w:rPr>
                <w:rFonts w:hint="eastAsia" w:ascii="Times New Roman" w:hAnsi="Times New Roman"/>
                <w:sz w:val="24"/>
                <w:lang w:val="en-US" w:eastAsia="zh-CN"/>
              </w:rPr>
              <w:t>3</w:t>
            </w:r>
            <w:r>
              <w:rPr>
                <w:rFonts w:hint="eastAsia" w:ascii="Times New Roman" w:hAnsi="Times New Roman"/>
                <w:sz w:val="24"/>
              </w:rPr>
              <w:t>：</w:t>
            </w:r>
            <w:r>
              <w:rPr>
                <w:rFonts w:hint="eastAsia" w:ascii="Times New Roman" w:hAnsi="Times New Roman"/>
                <w:snapToGrid w:val="0"/>
                <w:kern w:val="0"/>
                <w:sz w:val="24"/>
                <w:lang w:val="en-US" w:eastAsia="zh-CN"/>
              </w:rPr>
              <w:t>内墙ALC墙板</w:t>
            </w:r>
          </w:p>
          <w:p w14:paraId="7E7622A3">
            <w:pPr>
              <w:widowControl w:val="0"/>
              <w:rPr>
                <w:rFonts w:hint="default" w:ascii="Times New Roman" w:hAnsi="Times New Roman"/>
                <w:sz w:val="24"/>
                <w:lang w:val="en-US"/>
              </w:rPr>
            </w:pPr>
            <w:r>
              <w:rPr>
                <w:rFonts w:hint="eastAsia" w:ascii="Times New Roman" w:hAnsi="Times New Roman"/>
                <w:sz w:val="24"/>
              </w:rPr>
              <w:t>图</w:t>
            </w:r>
            <w:r>
              <w:rPr>
                <w:rFonts w:hint="eastAsia" w:ascii="Times New Roman" w:hAnsi="Times New Roman"/>
                <w:sz w:val="24"/>
                <w:lang w:val="en-US" w:eastAsia="zh-CN"/>
              </w:rPr>
              <w:t>4</w:t>
            </w:r>
            <w:r>
              <w:rPr>
                <w:rFonts w:hint="eastAsia" w:ascii="Times New Roman" w:hAnsi="Times New Roman"/>
                <w:sz w:val="24"/>
              </w:rPr>
              <w:t>：</w:t>
            </w:r>
            <w:r>
              <w:rPr>
                <w:rFonts w:hint="eastAsia" w:ascii="Times New Roman" w:hAnsi="Times New Roman"/>
                <w:snapToGrid w:val="0"/>
                <w:kern w:val="0"/>
                <w:sz w:val="24"/>
                <w:lang w:val="en-US" w:eastAsia="zh-CN"/>
              </w:rPr>
              <w:t>外墙窗户企口</w:t>
            </w:r>
          </w:p>
          <w:p w14:paraId="10080569">
            <w:pPr>
              <w:widowControl w:val="0"/>
              <w:rPr>
                <w:rFonts w:hint="default" w:ascii="Times New Roman" w:hAnsi="Times New Roman"/>
                <w:sz w:val="24"/>
                <w:lang w:val="en-US"/>
              </w:rPr>
            </w:pPr>
            <w:r>
              <w:rPr>
                <w:rFonts w:hint="eastAsia" w:ascii="Times New Roman" w:hAnsi="Times New Roman"/>
                <w:sz w:val="24"/>
              </w:rPr>
              <w:t>图</w:t>
            </w:r>
            <w:r>
              <w:rPr>
                <w:rFonts w:hint="eastAsia" w:ascii="Times New Roman" w:hAnsi="Times New Roman"/>
                <w:sz w:val="24"/>
                <w:lang w:val="en-US" w:eastAsia="zh-CN"/>
              </w:rPr>
              <w:t>5</w:t>
            </w:r>
            <w:r>
              <w:rPr>
                <w:rFonts w:hint="eastAsia" w:ascii="Times New Roman" w:hAnsi="Times New Roman"/>
                <w:sz w:val="24"/>
              </w:rPr>
              <w:t>：</w:t>
            </w:r>
            <w:r>
              <w:rPr>
                <w:rFonts w:hint="eastAsia" w:ascii="Times New Roman" w:hAnsi="Times New Roman"/>
                <w:snapToGrid w:val="0"/>
                <w:kern w:val="0"/>
                <w:sz w:val="24"/>
                <w:lang w:val="en-US" w:eastAsia="zh-CN"/>
              </w:rPr>
              <w:t>铝膜及叠合板吊装</w:t>
            </w:r>
          </w:p>
          <w:p w14:paraId="000EA2DF">
            <w:pPr>
              <w:widowControl w:val="0"/>
              <w:rPr>
                <w:rFonts w:hint="default" w:ascii="Times New Roman" w:hAnsi="Times New Roman"/>
                <w:sz w:val="24"/>
                <w:lang w:val="en-US"/>
              </w:rPr>
            </w:pPr>
            <w:r>
              <w:rPr>
                <w:rFonts w:hint="eastAsia" w:ascii="Times New Roman" w:hAnsi="Times New Roman"/>
                <w:sz w:val="24"/>
              </w:rPr>
              <w:t>图</w:t>
            </w:r>
            <w:r>
              <w:rPr>
                <w:rFonts w:hint="eastAsia" w:ascii="Times New Roman" w:hAnsi="Times New Roman"/>
                <w:sz w:val="24"/>
                <w:lang w:val="en-US" w:eastAsia="zh-CN"/>
              </w:rPr>
              <w:t>6</w:t>
            </w:r>
            <w:r>
              <w:rPr>
                <w:rFonts w:hint="eastAsia" w:ascii="Times New Roman" w:hAnsi="Times New Roman"/>
                <w:sz w:val="24"/>
              </w:rPr>
              <w:t>：</w:t>
            </w:r>
            <w:r>
              <w:rPr>
                <w:rFonts w:hint="eastAsia" w:ascii="Times New Roman" w:hAnsi="Times New Roman"/>
                <w:snapToGrid w:val="0"/>
                <w:kern w:val="0"/>
                <w:sz w:val="24"/>
                <w:lang w:val="en-US" w:eastAsia="zh-CN"/>
              </w:rPr>
              <w:t>预制楼梯及成品保护</w:t>
            </w:r>
          </w:p>
          <w:p w14:paraId="25D5181C">
            <w:pPr>
              <w:widowControl w:val="0"/>
              <w:rPr>
                <w:rFonts w:ascii="Times New Roman" w:hAnsi="Times New Roman"/>
                <w:sz w:val="24"/>
              </w:rPr>
            </w:pPr>
          </w:p>
          <w:p w14:paraId="121886BD">
            <w:pPr>
              <w:widowControl w:val="0"/>
              <w:rPr>
                <w:rFonts w:ascii="Times New Roman" w:hAnsi="Times New Roman"/>
                <w:sz w:val="24"/>
              </w:rPr>
            </w:pPr>
          </w:p>
          <w:p w14:paraId="624085A3">
            <w:pPr>
              <w:widowControl w:val="0"/>
              <w:rPr>
                <w:rFonts w:hint="eastAsia" w:ascii="Times New Roman" w:hAnsi="Times New Roman" w:eastAsia="宋体" w:cs="宋体"/>
                <w:bCs/>
                <w:kern w:val="0"/>
                <w:sz w:val="24"/>
                <w:szCs w:val="24"/>
                <w:lang w:val="en-US" w:eastAsia="zh-CN" w:bidi="ar-SA"/>
              </w:rPr>
            </w:pPr>
          </w:p>
        </w:tc>
      </w:tr>
      <w:tr w14:paraId="4693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4E304">
            <w:pPr>
              <w:widowControl w:val="0"/>
              <w:rPr>
                <w:rFonts w:hint="default" w:ascii="Times New Roman" w:hAnsi="Times New Roman" w:eastAsia="宋体"/>
                <w:kern w:val="0"/>
                <w:sz w:val="24"/>
                <w:lang w:val="en-US" w:eastAsia="zh-CN"/>
              </w:rPr>
            </w:pPr>
            <w:r>
              <w:rPr>
                <w:rFonts w:hint="eastAsia" w:ascii="Times New Roman" w:hAnsi="Times New Roman"/>
                <w:kern w:val="0"/>
                <w:sz w:val="24"/>
                <w:lang w:val="en-US" w:eastAsia="zh-CN"/>
              </w:rPr>
              <w:t>11</w:t>
            </w:r>
          </w:p>
        </w:tc>
        <w:tc>
          <w:tcPr>
            <w:tcW w:w="1353" w:type="dxa"/>
            <w:shd w:val="clear" w:color="auto" w:fill="auto"/>
            <w:vAlign w:val="center"/>
          </w:tcPr>
          <w:p w14:paraId="070186B0">
            <w:pPr>
              <w:widowControl w:val="0"/>
              <w:jc w:val="both"/>
              <w:rPr>
                <w:rFonts w:hint="eastAsia" w:ascii="Times New Roman" w:hAnsi="Times New Roman" w:eastAsia="宋体" w:cs="宋体"/>
                <w:bCs/>
                <w:iCs/>
                <w:kern w:val="2"/>
                <w:sz w:val="24"/>
                <w:szCs w:val="24"/>
                <w:lang w:val="en-US" w:eastAsia="zh-CN" w:bidi="ar-SA"/>
              </w:rPr>
            </w:pPr>
            <w:r>
              <w:rPr>
                <w:rFonts w:hint="eastAsia" w:ascii="Times New Roman" w:hAnsi="Times New Roman"/>
                <w:iCs/>
                <w:sz w:val="24"/>
              </w:rPr>
              <w:t>北京城建集团有限责任公司</w:t>
            </w:r>
          </w:p>
        </w:tc>
        <w:tc>
          <w:tcPr>
            <w:tcW w:w="1265" w:type="dxa"/>
            <w:shd w:val="clear" w:color="auto" w:fill="auto"/>
            <w:vAlign w:val="center"/>
          </w:tcPr>
          <w:p w14:paraId="63D31D13">
            <w:pPr>
              <w:widowControl w:val="0"/>
              <w:rPr>
                <w:rFonts w:hint="eastAsia" w:ascii="Times New Roman" w:hAnsi="Times New Roman" w:eastAsia="宋体" w:cs="宋体"/>
                <w:bCs/>
                <w:iCs/>
                <w:kern w:val="2"/>
                <w:sz w:val="24"/>
                <w:szCs w:val="24"/>
                <w:lang w:val="en-US" w:eastAsia="zh-CN" w:bidi="ar-SA"/>
              </w:rPr>
            </w:pPr>
            <w:r>
              <w:rPr>
                <w:rFonts w:hint="eastAsia" w:ascii="Times New Roman" w:hAnsi="Times New Roman"/>
                <w:iCs/>
                <w:sz w:val="24"/>
              </w:rPr>
              <w:t>海州体育馆二期主馆工程</w:t>
            </w:r>
          </w:p>
        </w:tc>
        <w:tc>
          <w:tcPr>
            <w:tcW w:w="2176" w:type="dxa"/>
            <w:shd w:val="clear" w:color="auto" w:fill="auto"/>
            <w:vAlign w:val="center"/>
          </w:tcPr>
          <w:p w14:paraId="1C332FAF">
            <w:pPr>
              <w:widowControl w:val="0"/>
              <w:rPr>
                <w:rFonts w:ascii="Times New Roman" w:hAnsi="Times New Roman"/>
                <w:iCs/>
                <w:sz w:val="24"/>
              </w:rPr>
            </w:pPr>
            <w:r>
              <w:rPr>
                <w:rFonts w:hint="eastAsia" w:ascii="Times New Roman" w:hAnsi="Times New Roman"/>
                <w:iCs/>
                <w:sz w:val="24"/>
              </w:rPr>
              <w:t>海州体育馆主馆为连云港市重点民生工程、2026年江苏省运会核心场馆，地处海州区秦东门大街南侧、孔望山路西侧，紧邻孔望山景区，区位优越。</w:t>
            </w:r>
          </w:p>
          <w:p w14:paraId="377FABDD">
            <w:pPr>
              <w:widowControl w:val="0"/>
              <w:rPr>
                <w:rFonts w:ascii="Times New Roman" w:hAnsi="Times New Roman"/>
                <w:iCs/>
                <w:sz w:val="24"/>
              </w:rPr>
            </w:pPr>
            <w:r>
              <w:rPr>
                <w:rFonts w:hint="eastAsia" w:ascii="Times New Roman" w:hAnsi="Times New Roman"/>
                <w:iCs/>
                <w:sz w:val="24"/>
              </w:rPr>
              <w:t>项目总建筑面积13441㎡，建筑高度23.4m，2024年12月竣工、2025年5月投用。建筑以“莲花宝座”为设计理念，融合地域文化特色；主体采用混凝土框架+钢架屋面结构，安全稳固。</w:t>
            </w:r>
          </w:p>
          <w:p w14:paraId="58D4DBD0">
            <w:pPr>
              <w:widowControl w:val="0"/>
              <w:rPr>
                <w:rFonts w:hint="eastAsia" w:ascii="Times New Roman" w:hAnsi="Times New Roman" w:eastAsia="宋体" w:cs="宋体"/>
                <w:bCs/>
                <w:iCs/>
                <w:kern w:val="2"/>
                <w:sz w:val="24"/>
                <w:szCs w:val="24"/>
                <w:lang w:val="en-US" w:eastAsia="zh-CN" w:bidi="ar-SA"/>
              </w:rPr>
            </w:pPr>
            <w:r>
              <w:rPr>
                <w:rFonts w:hint="eastAsia" w:ascii="Times New Roman" w:hAnsi="Times New Roman"/>
                <w:iCs/>
                <w:sz w:val="24"/>
              </w:rPr>
              <w:t>场馆按省运会专业标准建设，为羽毛球、乒乓球核心赛场，可承办篮球、武术等多项赛事；设固定座椅1200个、伸缩座椅700个，主厅场地灵活可变，兼具赛事、演出、健身功能。配备专业赛事系统与智慧运维平台，集专业赛事、全民健身、文体展演、体育培训于一体，有效完善区域体育配套，助力城市文体事业高质量发展。</w:t>
            </w:r>
          </w:p>
        </w:tc>
        <w:tc>
          <w:tcPr>
            <w:tcW w:w="1133" w:type="dxa"/>
            <w:shd w:val="clear" w:color="auto" w:fill="auto"/>
            <w:vAlign w:val="center"/>
          </w:tcPr>
          <w:p w14:paraId="36E6A88A">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rPr>
              <w:t>2024年12月31日</w:t>
            </w:r>
          </w:p>
        </w:tc>
        <w:tc>
          <w:tcPr>
            <w:tcW w:w="1691" w:type="dxa"/>
            <w:shd w:val="clear" w:color="auto" w:fill="auto"/>
            <w:vAlign w:val="center"/>
          </w:tcPr>
          <w:p w14:paraId="23DA8E62">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snapToGrid w:val="0"/>
                <w:kern w:val="0"/>
                <w:sz w:val="22"/>
                <w:szCs w:val="22"/>
              </w:rPr>
            </w:pPr>
            <w:r>
              <w:rPr>
                <w:rFonts w:hint="eastAsia" w:ascii="Times New Roman" w:hAnsi="Times New Roman"/>
                <w:snapToGrid w:val="0"/>
                <w:kern w:val="0"/>
                <w:sz w:val="22"/>
                <w:szCs w:val="22"/>
              </w:rPr>
              <w:t>1. 文化地标造型独特：主馆以“莲花宝座”为设计灵感，呼应孔望山摩崖造像文化典故，与周边游泳馆“水纹”、综合楼“山势”造型融合，成为连云港城市新地标，俗称“大莲花”。</w:t>
            </w:r>
          </w:p>
          <w:p w14:paraId="7DA4FD0C">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snapToGrid w:val="0"/>
                <w:kern w:val="0"/>
                <w:sz w:val="22"/>
                <w:szCs w:val="22"/>
              </w:rPr>
            </w:pPr>
            <w:r>
              <w:rPr>
                <w:rFonts w:hint="eastAsia" w:ascii="Times New Roman" w:hAnsi="Times New Roman"/>
                <w:snapToGrid w:val="0"/>
                <w:kern w:val="0"/>
                <w:sz w:val="22"/>
                <w:szCs w:val="22"/>
              </w:rPr>
              <w:t>2. 省运会标准专业配置：作为2026年江苏省运会羽毛球、乒乓球核心赛场，按省级赛事标准建设，配备专业体育照明、计时计分、影像采集回放系统，场地可快速切换篮球、羽毛球、乒乓球等多种比赛模式 。</w:t>
            </w:r>
          </w:p>
          <w:p w14:paraId="6A5A229E">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snapToGrid w:val="0"/>
                <w:kern w:val="0"/>
                <w:sz w:val="22"/>
                <w:szCs w:val="22"/>
              </w:rPr>
            </w:pPr>
            <w:r>
              <w:rPr>
                <w:rFonts w:hint="eastAsia" w:ascii="Times New Roman" w:hAnsi="Times New Roman"/>
                <w:snapToGrid w:val="0"/>
                <w:kern w:val="0"/>
                <w:sz w:val="22"/>
                <w:szCs w:val="22"/>
              </w:rPr>
              <w:t>3. 空间集约、一馆多用：总建筑面积约13441㎡，高23.4米；二层主厅约2800㎡，可灵活布置两片篮球场或标准比赛场地；设固定座椅1200个、电动伸缩座椅700个，峰值容纳1900余人，兼顾赛事、文艺演出与全民健身 。</w:t>
            </w:r>
          </w:p>
          <w:p w14:paraId="70467DFE">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snapToGrid w:val="0"/>
                <w:kern w:val="0"/>
                <w:sz w:val="22"/>
                <w:szCs w:val="22"/>
              </w:rPr>
            </w:pPr>
            <w:r>
              <w:rPr>
                <w:rFonts w:hint="eastAsia" w:ascii="Times New Roman" w:hAnsi="Times New Roman"/>
                <w:snapToGrid w:val="0"/>
                <w:kern w:val="0"/>
                <w:sz w:val="22"/>
                <w:szCs w:val="22"/>
              </w:rPr>
              <w:t>4. 智慧运维与绿色节能：采用智能灯光、空调控制系统，按需调节能耗；微信小程序实现场地预约、时段查询，适配“10分钟健身圈”服务需求；屋面钢架与混凝土框架结合，自然采光通风优化，绿色低碳施工达标 。</w:t>
            </w:r>
          </w:p>
          <w:p w14:paraId="4879DD7A">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bCs/>
                <w:snapToGrid w:val="0"/>
                <w:kern w:val="0"/>
                <w:sz w:val="22"/>
                <w:szCs w:val="22"/>
                <w:lang w:val="en-US" w:eastAsia="zh-CN" w:bidi="ar-SA"/>
              </w:rPr>
            </w:pPr>
            <w:r>
              <w:rPr>
                <w:rFonts w:hint="eastAsia" w:ascii="Times New Roman" w:hAnsi="Times New Roman"/>
                <w:snapToGrid w:val="0"/>
                <w:kern w:val="0"/>
                <w:sz w:val="22"/>
                <w:szCs w:val="22"/>
              </w:rPr>
              <w:t>5. 结构安全与施工高效：主体为混凝土框架+钢架屋面体系，大跨度空间稳定；采用工厂预制、现场拼装工艺，缩短工期、减少现场污染；全过程质量管控，获评市级优质工程，为同类场馆提供可复制经验 。</w:t>
            </w:r>
          </w:p>
        </w:tc>
        <w:tc>
          <w:tcPr>
            <w:tcW w:w="1852" w:type="dxa"/>
            <w:shd w:val="clear" w:color="auto" w:fill="auto"/>
            <w:vAlign w:val="center"/>
          </w:tcPr>
          <w:p w14:paraId="0939FF4B">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snapToGrid w:val="0"/>
                <w:kern w:val="0"/>
                <w:sz w:val="22"/>
                <w:szCs w:val="22"/>
              </w:rPr>
            </w:pPr>
            <w:r>
              <w:rPr>
                <w:rFonts w:hint="eastAsia" w:ascii="Times New Roman" w:hAnsi="Times New Roman"/>
                <w:snapToGrid w:val="0"/>
                <w:kern w:val="0"/>
                <w:sz w:val="22"/>
                <w:szCs w:val="22"/>
              </w:rPr>
              <w:t>1. 保障省运、提升竞技能级：圆满完成2025年江苏省青少年乒乓球/羽毛球锦标赛等赛事，为2026年省运会提供高规格场地支撑，填补连云港大型专业赛事场馆空白，提升区域竞技体育承办能力 。</w:t>
            </w:r>
          </w:p>
          <w:p w14:paraId="72B25E5D">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snapToGrid w:val="0"/>
                <w:kern w:val="0"/>
                <w:sz w:val="22"/>
                <w:szCs w:val="22"/>
              </w:rPr>
            </w:pPr>
            <w:r>
              <w:rPr>
                <w:rFonts w:hint="eastAsia" w:ascii="Times New Roman" w:hAnsi="Times New Roman"/>
                <w:snapToGrid w:val="0"/>
                <w:kern w:val="0"/>
                <w:sz w:val="22"/>
                <w:szCs w:val="22"/>
              </w:rPr>
              <w:t>2. 完善全民健身公共服务：作为海州区“10分钟健身圈”核心载体，低价/免费开放场地，日均接待市民超千人次，有效解决群众“健身难”问题，推动全民健身常态化、普惠化 。</w:t>
            </w:r>
          </w:p>
          <w:p w14:paraId="572D0ECF">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snapToGrid w:val="0"/>
                <w:kern w:val="0"/>
                <w:sz w:val="22"/>
                <w:szCs w:val="22"/>
              </w:rPr>
            </w:pPr>
            <w:r>
              <w:rPr>
                <w:rFonts w:hint="eastAsia" w:ascii="Times New Roman" w:hAnsi="Times New Roman"/>
                <w:snapToGrid w:val="0"/>
                <w:kern w:val="0"/>
                <w:sz w:val="22"/>
                <w:szCs w:val="22"/>
              </w:rPr>
              <w:t>3. 塑造城市名片、拉动区域发展：“大莲花”成为港城网红打卡地与文化新地标，显著提升城市形象与软实力；赛事与活动带动周边餐饮、住宿、文旅消费，激活区域经济活力。</w:t>
            </w:r>
          </w:p>
          <w:p w14:paraId="6B21860B">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snapToGrid w:val="0"/>
                <w:kern w:val="0"/>
                <w:sz w:val="22"/>
                <w:szCs w:val="22"/>
              </w:rPr>
            </w:pPr>
            <w:r>
              <w:rPr>
                <w:rFonts w:hint="eastAsia" w:ascii="Times New Roman" w:hAnsi="Times New Roman"/>
                <w:snapToGrid w:val="0"/>
                <w:kern w:val="0"/>
                <w:sz w:val="22"/>
                <w:szCs w:val="22"/>
              </w:rPr>
              <w:t>4. 民生福祉与社会效益双赢：场馆兼顾公益属性与运营可持续，分时段惠民开放，配套更衣、盥洗等便民设施，提升市民幸福感；承接青少年培训、公益赛事，助力体育后备人才培养 。</w:t>
            </w:r>
          </w:p>
          <w:p w14:paraId="3463F9B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bCs/>
                <w:kern w:val="0"/>
                <w:sz w:val="22"/>
                <w:szCs w:val="22"/>
                <w:lang w:val="en-US" w:eastAsia="zh-CN" w:bidi="ar-SA"/>
              </w:rPr>
            </w:pPr>
            <w:r>
              <w:rPr>
                <w:rFonts w:hint="eastAsia" w:ascii="Times New Roman" w:hAnsi="Times New Roman"/>
                <w:snapToGrid w:val="0"/>
                <w:kern w:val="0"/>
                <w:sz w:val="22"/>
                <w:szCs w:val="22"/>
              </w:rPr>
              <w:t>5. 示范引领行业技术升级：项目融合大跨度钢结构、BIM应用、绿色施工、智慧运维等技术，形成可推广的施工与管理经验，推动连云港建筑行业技术创新与标准化建设 。</w:t>
            </w:r>
          </w:p>
        </w:tc>
        <w:tc>
          <w:tcPr>
            <w:tcW w:w="2127" w:type="dxa"/>
            <w:shd w:val="clear" w:color="auto" w:fill="auto"/>
            <w:vAlign w:val="center"/>
          </w:tcPr>
          <w:p w14:paraId="6658CB4C">
            <w:pPr>
              <w:widowControl w:val="0"/>
              <w:rPr>
                <w:rFonts w:ascii="Times New Roman" w:hAnsi="Times New Roman"/>
                <w:kern w:val="0"/>
                <w:sz w:val="24"/>
              </w:rPr>
            </w:pPr>
            <w:r>
              <w:rPr>
                <w:rFonts w:hint="eastAsia" w:ascii="Times New Roman" w:hAnsi="Times New Roman"/>
                <w:kern w:val="0"/>
                <w:sz w:val="24"/>
              </w:rPr>
              <w:drawing>
                <wp:inline distT="0" distB="0" distL="114300" distR="114300">
                  <wp:extent cx="1188720" cy="855980"/>
                  <wp:effectExtent l="0" t="0" r="11430" b="1270"/>
                  <wp:docPr id="5" name="图片 5" descr="1俯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俯视图"/>
                          <pic:cNvPicPr>
                            <a:picLocks noChangeAspect="1"/>
                          </pic:cNvPicPr>
                        </pic:nvPicPr>
                        <pic:blipFill>
                          <a:blip r:embed="rId28"/>
                          <a:stretch>
                            <a:fillRect/>
                          </a:stretch>
                        </pic:blipFill>
                        <pic:spPr>
                          <a:xfrm>
                            <a:off x="0" y="0"/>
                            <a:ext cx="1188720" cy="855980"/>
                          </a:xfrm>
                          <a:prstGeom prst="rect">
                            <a:avLst/>
                          </a:prstGeom>
                        </pic:spPr>
                      </pic:pic>
                    </a:graphicData>
                  </a:graphic>
                </wp:inline>
              </w:drawing>
            </w:r>
          </w:p>
          <w:p w14:paraId="34A49E1B">
            <w:pPr>
              <w:widowControl w:val="0"/>
              <w:rPr>
                <w:rFonts w:hint="eastAsia" w:ascii="Times New Roman" w:hAnsi="Times New Roman" w:eastAsia="宋体" w:cs="宋体"/>
                <w:bCs/>
                <w:kern w:val="0"/>
                <w:sz w:val="24"/>
                <w:szCs w:val="24"/>
                <w:lang w:val="en-US" w:eastAsia="zh-CN" w:bidi="ar-SA"/>
              </w:rPr>
            </w:pPr>
            <w:r>
              <w:rPr>
                <w:rFonts w:ascii="Times New Roman" w:hAnsi="Times New Roman"/>
                <w:kern w:val="0"/>
                <w:sz w:val="24"/>
              </w:rPr>
              <w:drawing>
                <wp:inline distT="0" distB="0" distL="0" distR="0">
                  <wp:extent cx="1213485" cy="909955"/>
                  <wp:effectExtent l="0" t="0" r="571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3485" cy="909955"/>
                          </a:xfrm>
                          <a:prstGeom prst="rect">
                            <a:avLst/>
                          </a:prstGeom>
                          <a:noFill/>
                          <a:ln>
                            <a:noFill/>
                          </a:ln>
                        </pic:spPr>
                      </pic:pic>
                    </a:graphicData>
                  </a:graphic>
                </wp:inline>
              </w:drawing>
            </w:r>
          </w:p>
        </w:tc>
        <w:tc>
          <w:tcPr>
            <w:tcW w:w="1897" w:type="dxa"/>
            <w:shd w:val="clear" w:color="auto" w:fill="auto"/>
            <w:vAlign w:val="center"/>
          </w:tcPr>
          <w:p w14:paraId="62A33B58">
            <w:pPr>
              <w:widowControl w:val="0"/>
              <w:rPr>
                <w:rFonts w:ascii="Times New Roman" w:hAnsi="Times New Roman"/>
                <w:snapToGrid w:val="0"/>
                <w:kern w:val="0"/>
                <w:sz w:val="24"/>
              </w:rPr>
            </w:pPr>
            <w:r>
              <w:rPr>
                <w:rFonts w:hint="eastAsia" w:ascii="Times New Roman" w:hAnsi="Times New Roman"/>
                <w:sz w:val="24"/>
              </w:rPr>
              <w:t>图1：连云港市海州体育馆主馆（“大莲花”），为2026年江苏省运会核心场馆。建筑以“莲花宝座”为设计灵感，融合地域文化与现代美学，总建筑</w:t>
            </w:r>
            <w:r>
              <w:rPr>
                <w:rFonts w:hint="eastAsia" w:ascii="Times New Roman" w:hAnsi="Times New Roman" w:eastAsia="宋体" w:cs="宋体"/>
                <w:kern w:val="0"/>
                <w:sz w:val="24"/>
                <w:lang w:val="en-US" w:eastAsia="zh-CN"/>
              </w:rPr>
              <w:t>面积</w:t>
            </w:r>
            <w:r>
              <w:rPr>
                <w:rFonts w:hint="eastAsia" w:ascii="Times New Roman" w:hAnsi="Times New Roman"/>
                <w:sz w:val="24"/>
              </w:rPr>
              <w:t>13441㎡，是港城标志性文体地标</w:t>
            </w:r>
          </w:p>
          <w:p w14:paraId="0A68E720">
            <w:pPr>
              <w:widowControl w:val="0"/>
              <w:rPr>
                <w:rFonts w:ascii="Times New Roman" w:hAnsi="Times New Roman"/>
                <w:sz w:val="24"/>
              </w:rPr>
            </w:pPr>
            <w:r>
              <w:rPr>
                <w:rFonts w:hint="eastAsia" w:ascii="Times New Roman" w:hAnsi="Times New Roman"/>
                <w:sz w:val="24"/>
              </w:rPr>
              <w:t>图2：主馆二层比赛主厅，面积约2800㎡，可灵活布置两片篮球场或标准赛场；设固定座椅1200个、电动伸缩座椅700个，配备专业赛事系统，满足省运会及全民健身需求。</w:t>
            </w:r>
          </w:p>
          <w:p w14:paraId="0AA24B40">
            <w:pPr>
              <w:widowControl w:val="0"/>
              <w:rPr>
                <w:rFonts w:hint="eastAsia" w:ascii="Times New Roman" w:hAnsi="Times New Roman" w:eastAsia="宋体" w:cs="宋体"/>
                <w:bCs/>
                <w:kern w:val="0"/>
                <w:sz w:val="24"/>
                <w:szCs w:val="24"/>
                <w:lang w:val="en-US" w:eastAsia="zh-CN" w:bidi="ar-SA"/>
              </w:rPr>
            </w:pPr>
          </w:p>
        </w:tc>
      </w:tr>
      <w:tr w14:paraId="395C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4CBE38D">
            <w:pPr>
              <w:widowControl w:val="0"/>
              <w:rPr>
                <w:rFonts w:hint="default" w:ascii="Times New Roman" w:hAnsi="Times New Roman" w:eastAsia="宋体"/>
                <w:kern w:val="0"/>
                <w:sz w:val="24"/>
                <w:lang w:val="en-US" w:eastAsia="zh-CN"/>
              </w:rPr>
            </w:pPr>
            <w:r>
              <w:rPr>
                <w:rFonts w:hint="eastAsia" w:ascii="Times New Roman" w:hAnsi="Times New Roman"/>
                <w:kern w:val="0"/>
                <w:sz w:val="24"/>
                <w:lang w:val="en-US" w:eastAsia="zh-CN"/>
              </w:rPr>
              <w:t>12</w:t>
            </w:r>
          </w:p>
        </w:tc>
        <w:tc>
          <w:tcPr>
            <w:tcW w:w="1353" w:type="dxa"/>
            <w:shd w:val="clear" w:color="auto" w:fill="auto"/>
            <w:vAlign w:val="center"/>
          </w:tcPr>
          <w:p w14:paraId="011EFBD6">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中铁三局集团有限公司</w:t>
            </w:r>
          </w:p>
        </w:tc>
        <w:tc>
          <w:tcPr>
            <w:tcW w:w="1265" w:type="dxa"/>
            <w:shd w:val="clear" w:color="auto" w:fill="auto"/>
            <w:vAlign w:val="center"/>
          </w:tcPr>
          <w:p w14:paraId="6BA62E12">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lang w:val="en-US" w:eastAsia="zh-CN"/>
              </w:rPr>
              <w:t>海州区招商服务中心项目</w:t>
            </w:r>
          </w:p>
        </w:tc>
        <w:tc>
          <w:tcPr>
            <w:tcW w:w="2176" w:type="dxa"/>
            <w:shd w:val="clear" w:color="auto" w:fill="auto"/>
            <w:vAlign w:val="center"/>
          </w:tcPr>
          <w:p w14:paraId="6BB6829B">
            <w:pPr>
              <w:widowControl w:val="0"/>
              <w:bidi w:val="0"/>
              <w:rPr>
                <w:rFonts w:hint="eastAsia"/>
              </w:rPr>
            </w:pPr>
            <w:r>
              <w:rPr>
                <w:rFonts w:hint="eastAsia"/>
              </w:rPr>
              <w:t>海州区招商服务中心，结构设计使用年限50年，建筑结构安全等级为二级，建设主体为一幢地上8层（局部2-6层）、地下1层建筑物，建筑基底占地面积4671.19㎡。总建筑面积48927.65㎡，地上建筑面积31779.4㎡，（其中地上计容建筑面积30954.99㎡，地上不计容面积824.41㎡）；地下不计容建筑面积17148.25㎡（其中地下车库13103.23㎡，人防4045.02㎡）。容积率1.49，建筑密度22.55%，绿地率30.02%。配套建设内部道路，地面停车场、景观绿化，消防，给排水，暖通空调等设施。</w:t>
            </w:r>
          </w:p>
          <w:p w14:paraId="0AF0CAB3">
            <w:pPr>
              <w:widowControl w:val="0"/>
              <w:rPr>
                <w:rFonts w:hint="eastAsia" w:ascii="Times New Roman" w:hAnsi="Times New Roman" w:eastAsia="宋体" w:cs="宋体"/>
                <w:bCs/>
                <w:iCs/>
                <w:kern w:val="2"/>
                <w:sz w:val="24"/>
                <w:szCs w:val="24"/>
                <w:lang w:val="en-US" w:eastAsia="zh-CN" w:bidi="ar-SA"/>
              </w:rPr>
            </w:pPr>
          </w:p>
        </w:tc>
        <w:tc>
          <w:tcPr>
            <w:tcW w:w="1133" w:type="dxa"/>
            <w:shd w:val="clear" w:color="auto" w:fill="auto"/>
            <w:vAlign w:val="center"/>
          </w:tcPr>
          <w:p w14:paraId="69F67AE2">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lang w:val="en-US" w:eastAsia="zh-CN"/>
              </w:rPr>
              <w:t>2024年8月6日</w:t>
            </w:r>
          </w:p>
        </w:tc>
        <w:tc>
          <w:tcPr>
            <w:tcW w:w="1691" w:type="dxa"/>
            <w:shd w:val="clear" w:color="auto" w:fill="auto"/>
            <w:vAlign w:val="center"/>
          </w:tcPr>
          <w:p w14:paraId="243EE334">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snapToGrid w:val="0"/>
                <w:kern w:val="0"/>
                <w:sz w:val="22"/>
                <w:szCs w:val="22"/>
                <w:lang w:val="en-US" w:eastAsia="zh-CN"/>
              </w:rPr>
            </w:pPr>
            <w:r>
              <w:rPr>
                <w:rFonts w:hint="default" w:ascii="Times New Roman" w:hAnsi="Times New Roman"/>
                <w:snapToGrid w:val="0"/>
                <w:kern w:val="0"/>
                <w:sz w:val="22"/>
                <w:szCs w:val="22"/>
                <w:lang w:val="en-US" w:eastAsia="zh-CN"/>
              </w:rPr>
              <w:t>1、关键工序先做实体样板，验收确认工艺标准后封样，作为大面积施工和质量验收的唯一参照，实现“标准上墙、样板说话”。</w:t>
            </w:r>
          </w:p>
          <w:p w14:paraId="76C9CC36">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snapToGrid w:val="0"/>
                <w:kern w:val="0"/>
                <w:sz w:val="22"/>
                <w:szCs w:val="22"/>
                <w:lang w:val="en-US" w:eastAsia="zh-CN"/>
              </w:rPr>
            </w:pPr>
            <w:r>
              <w:rPr>
                <w:rFonts w:hint="default" w:ascii="Times New Roman" w:hAnsi="Times New Roman"/>
                <w:snapToGrid w:val="0"/>
                <w:kern w:val="0"/>
                <w:sz w:val="22"/>
                <w:szCs w:val="22"/>
                <w:lang w:val="en-US" w:eastAsia="zh-CN"/>
              </w:rPr>
              <w:t>2、利用BIM技术进行管线综合、碰撞检查及施工过程模拟，提前发现并解决图纸矛盾，直观进行三维交底，减少返工。</w:t>
            </w:r>
          </w:p>
          <w:p w14:paraId="6B72D25F">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snapToGrid w:val="0"/>
                <w:kern w:val="0"/>
                <w:sz w:val="22"/>
                <w:szCs w:val="22"/>
                <w:lang w:val="en-US" w:eastAsia="zh-CN"/>
              </w:rPr>
            </w:pPr>
            <w:r>
              <w:rPr>
                <w:rFonts w:hint="default" w:ascii="Times New Roman" w:hAnsi="Times New Roman"/>
                <w:snapToGrid w:val="0"/>
                <w:kern w:val="0"/>
                <w:sz w:val="22"/>
                <w:szCs w:val="22"/>
                <w:lang w:val="en-US" w:eastAsia="zh-CN"/>
              </w:rPr>
              <w:t>3、材料进场、见证取样、检测结果、使用部位全流程扫码溯源，建立批次—部位对应电子台账，确保来源可查、去向可追。</w:t>
            </w:r>
          </w:p>
          <w:p w14:paraId="2C63920B">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snapToGrid w:val="0"/>
                <w:kern w:val="0"/>
                <w:sz w:val="22"/>
                <w:szCs w:val="22"/>
                <w:lang w:val="en-US" w:eastAsia="zh-CN"/>
              </w:rPr>
            </w:pPr>
            <w:r>
              <w:rPr>
                <w:rFonts w:hint="default" w:ascii="Times New Roman" w:hAnsi="Times New Roman"/>
                <w:snapToGrid w:val="0"/>
                <w:kern w:val="0"/>
                <w:sz w:val="22"/>
                <w:szCs w:val="22"/>
                <w:lang w:val="en-US" w:eastAsia="zh-CN"/>
              </w:rPr>
              <w:t>4、主体、砌筑、抹灰阶段推行100%实测实量，检测结果及时标注于作业面，以数据驱动班组自控和工序改进，降低质量离散度。</w:t>
            </w:r>
          </w:p>
          <w:p w14:paraId="1458DB1F">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snapToGrid w:val="0"/>
                <w:kern w:val="0"/>
                <w:sz w:val="22"/>
                <w:szCs w:val="22"/>
                <w:lang w:val="en-US" w:eastAsia="zh-CN"/>
              </w:rPr>
            </w:pPr>
            <w:r>
              <w:rPr>
                <w:rFonts w:hint="default" w:ascii="Times New Roman" w:hAnsi="Times New Roman"/>
                <w:snapToGrid w:val="0"/>
                <w:kern w:val="0"/>
                <w:sz w:val="22"/>
                <w:szCs w:val="22"/>
                <w:lang w:val="en-US" w:eastAsia="zh-CN"/>
              </w:rPr>
              <w:t>5、严格执行自检、互检、专检，所有隐蔽工程关键节点拍照录像，绑定工程部位归档，验收记录与影像资料同步留存。</w:t>
            </w:r>
          </w:p>
          <w:p w14:paraId="3765864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snapToGrid w:val="0"/>
                <w:kern w:val="0"/>
                <w:sz w:val="22"/>
                <w:szCs w:val="22"/>
                <w:lang w:val="en-US" w:eastAsia="zh-CN"/>
              </w:rPr>
            </w:pPr>
            <w:r>
              <w:rPr>
                <w:rFonts w:hint="default" w:ascii="Times New Roman" w:hAnsi="Times New Roman"/>
                <w:snapToGrid w:val="0"/>
                <w:kern w:val="0"/>
                <w:sz w:val="22"/>
                <w:szCs w:val="22"/>
                <w:lang w:val="en-US" w:eastAsia="zh-CN"/>
              </w:rPr>
              <w:t>6、梁柱节点核心区、楼板钢筋保护层等采用定型化定位卡具和高强度成品垫块，根治主筋移位、保护层偏差等质量通病。</w:t>
            </w:r>
          </w:p>
          <w:p w14:paraId="2EF1AB87">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snapToGrid w:val="0"/>
                <w:kern w:val="0"/>
                <w:sz w:val="22"/>
                <w:szCs w:val="22"/>
                <w:lang w:val="en-US" w:eastAsia="zh-CN"/>
              </w:rPr>
            </w:pPr>
            <w:r>
              <w:rPr>
                <w:rFonts w:hint="default" w:ascii="Times New Roman" w:hAnsi="Times New Roman"/>
                <w:snapToGrid w:val="0"/>
                <w:kern w:val="0"/>
                <w:sz w:val="22"/>
                <w:szCs w:val="22"/>
                <w:lang w:val="en-US" w:eastAsia="zh-CN"/>
              </w:rPr>
              <w:t>7、制定分阶段成品保护方案，阳角护角、梯步护板、管线封堵等落实到责任班组，实行破坏追责，杜绝交叉污染与破损。</w:t>
            </w:r>
          </w:p>
          <w:p w14:paraId="689412E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bCs/>
                <w:snapToGrid w:val="0"/>
                <w:kern w:val="0"/>
                <w:sz w:val="22"/>
                <w:szCs w:val="22"/>
                <w:lang w:val="en-US" w:eastAsia="zh-CN" w:bidi="ar-SA"/>
              </w:rPr>
            </w:pPr>
            <w:r>
              <w:rPr>
                <w:rFonts w:hint="default" w:ascii="Times New Roman" w:hAnsi="Times New Roman"/>
                <w:snapToGrid w:val="0"/>
                <w:kern w:val="0"/>
                <w:sz w:val="22"/>
                <w:szCs w:val="22"/>
                <w:lang w:val="en-US" w:eastAsia="zh-CN"/>
              </w:rPr>
              <w:t>8、针对渗漏、开裂等通病，鼓励QC小组微创新和小改小革常态化攻关，通过向激励，形成“不制造、不传递、不隐瞒”的质量文化。</w:t>
            </w:r>
          </w:p>
        </w:tc>
        <w:tc>
          <w:tcPr>
            <w:tcW w:w="1852" w:type="dxa"/>
            <w:shd w:val="clear" w:color="auto" w:fill="auto"/>
            <w:vAlign w:val="center"/>
          </w:tcPr>
          <w:p w14:paraId="1AA763C2">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rPr>
            </w:pPr>
            <w:r>
              <w:rPr>
                <w:rFonts w:hint="eastAsia" w:ascii="Times New Roman" w:hAnsi="Times New Roman" w:eastAsia="宋体" w:cs="宋体"/>
                <w:snapToGrid w:val="0"/>
                <w:kern w:val="0"/>
                <w:sz w:val="22"/>
                <w:szCs w:val="22"/>
              </w:rPr>
              <w:t>1、建立以项目经理为第一责任人的质量管理架构，逐级签订质量责任书，形成“横向到边、纵向到底”的质量责任制，并纳入绩效考核。</w:t>
            </w:r>
          </w:p>
          <w:p w14:paraId="503AE99F">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rPr>
            </w:pPr>
            <w:r>
              <w:rPr>
                <w:rFonts w:hint="eastAsia" w:ascii="Times New Roman" w:hAnsi="Times New Roman" w:eastAsia="宋体" w:cs="宋体"/>
                <w:snapToGrid w:val="0"/>
                <w:kern w:val="0"/>
                <w:sz w:val="22"/>
                <w:szCs w:val="22"/>
              </w:rPr>
              <w:t>2、做好技术交底，对重难点、危险性较大的分部分项工程编制专项施工方案并组织专家论证，坚决杜绝“边施工、边修改”。</w:t>
            </w:r>
          </w:p>
          <w:p w14:paraId="2FB3089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rPr>
            </w:pPr>
            <w:r>
              <w:rPr>
                <w:rFonts w:hint="eastAsia" w:ascii="Times New Roman" w:hAnsi="Times New Roman" w:eastAsia="宋体" w:cs="宋体"/>
                <w:snapToGrid w:val="0"/>
                <w:kern w:val="0"/>
                <w:sz w:val="22"/>
                <w:szCs w:val="22"/>
              </w:rPr>
              <w:t>3、所有建筑材料、构配件及设备必须联合验收，严格执行“见证取样送检”制度，检测不合格或资料不全的严禁用于工程，并建立全过程可追溯台账。</w:t>
            </w:r>
          </w:p>
          <w:p w14:paraId="6ADD021E">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rPr>
            </w:pPr>
            <w:r>
              <w:rPr>
                <w:rFonts w:hint="eastAsia" w:ascii="Times New Roman" w:hAnsi="Times New Roman" w:eastAsia="宋体" w:cs="宋体"/>
                <w:snapToGrid w:val="0"/>
                <w:kern w:val="0"/>
                <w:sz w:val="22"/>
                <w:szCs w:val="22"/>
              </w:rPr>
              <w:t>4、在大面积施工前，先对重要工序、关键节点及有精装要求的部位制作实物样板，经建设、监理、设计各方联合验收确认工艺标准后，再按样板展开大面积施工。</w:t>
            </w:r>
          </w:p>
          <w:p w14:paraId="218D2F13">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rPr>
            </w:pPr>
            <w:r>
              <w:rPr>
                <w:rFonts w:hint="eastAsia" w:ascii="Times New Roman" w:hAnsi="Times New Roman" w:eastAsia="宋体" w:cs="宋体"/>
                <w:snapToGrid w:val="0"/>
                <w:kern w:val="0"/>
                <w:sz w:val="22"/>
                <w:szCs w:val="22"/>
              </w:rPr>
              <w:t>5、严格执行班组自检、工序互检、质量员专检的“三检制”。所有隐蔽工程必须留存详细的文字记录和影像资料，在监理工程师旁站或检查合格后方可覆盖。</w:t>
            </w:r>
          </w:p>
          <w:p w14:paraId="1A74BED2">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rPr>
            </w:pPr>
            <w:r>
              <w:rPr>
                <w:rFonts w:hint="eastAsia" w:ascii="Times New Roman" w:hAnsi="Times New Roman" w:eastAsia="宋体" w:cs="宋体"/>
                <w:snapToGrid w:val="0"/>
                <w:kern w:val="0"/>
                <w:sz w:val="22"/>
                <w:szCs w:val="22"/>
              </w:rPr>
              <w:t>6、对桩基施工、大体积混凝土浇筑、钢结构焊接、防水层铺贴等关键工序和重点部位，实行施工与监理单位双旁站。</w:t>
            </w:r>
          </w:p>
          <w:p w14:paraId="7652D27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rPr>
            </w:pPr>
            <w:r>
              <w:rPr>
                <w:rFonts w:hint="eastAsia" w:ascii="Times New Roman" w:hAnsi="Times New Roman" w:eastAsia="宋体" w:cs="宋体"/>
                <w:snapToGrid w:val="0"/>
                <w:kern w:val="0"/>
                <w:sz w:val="22"/>
                <w:szCs w:val="22"/>
              </w:rPr>
              <w:t>7、所有分项工程开工前必须进行可视化、实操化的三级技术交底，确保作业人员掌握工艺要点。特殊工种须持证上岗，定期开展质量通病专项培训。</w:t>
            </w:r>
          </w:p>
          <w:p w14:paraId="68AB62B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rPr>
              <w:t>8、在竣工验收前，务必完成使用功能测试。同时，制定分阶段、分专业的成品保护方案，防止交叉施工造成的二次破坏与污染。</w:t>
            </w:r>
          </w:p>
        </w:tc>
        <w:tc>
          <w:tcPr>
            <w:tcW w:w="2127" w:type="dxa"/>
            <w:shd w:val="clear" w:color="auto" w:fill="auto"/>
            <w:vAlign w:val="center"/>
          </w:tcPr>
          <w:p w14:paraId="2AA0082E">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eastAsia="宋体"/>
                <w:kern w:val="0"/>
                <w:sz w:val="24"/>
                <w:lang w:eastAsia="zh-CN"/>
              </w:rPr>
              <w:drawing>
                <wp:inline distT="0" distB="0" distL="114300" distR="114300">
                  <wp:extent cx="1181100" cy="787400"/>
                  <wp:effectExtent l="0" t="0" r="0" b="12700"/>
                  <wp:docPr id="8" name="图片 8" descr="DJI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JI_0021"/>
                          <pic:cNvPicPr>
                            <a:picLocks noChangeAspect="1"/>
                          </pic:cNvPicPr>
                        </pic:nvPicPr>
                        <pic:blipFill>
                          <a:blip r:embed="rId30"/>
                          <a:stretch>
                            <a:fillRect/>
                          </a:stretch>
                        </pic:blipFill>
                        <pic:spPr>
                          <a:xfrm>
                            <a:off x="0" y="0"/>
                            <a:ext cx="1181100" cy="787400"/>
                          </a:xfrm>
                          <a:prstGeom prst="rect">
                            <a:avLst/>
                          </a:prstGeom>
                        </pic:spPr>
                      </pic:pic>
                    </a:graphicData>
                  </a:graphic>
                </wp:inline>
              </w:drawing>
            </w:r>
            <w:r>
              <w:rPr>
                <w:rFonts w:hint="eastAsia" w:ascii="Times New Roman" w:hAnsi="Times New Roman" w:eastAsia="宋体"/>
                <w:kern w:val="0"/>
                <w:sz w:val="24"/>
                <w:lang w:eastAsia="zh-CN"/>
              </w:rPr>
              <w:drawing>
                <wp:inline distT="0" distB="0" distL="114300" distR="114300">
                  <wp:extent cx="1181100" cy="787400"/>
                  <wp:effectExtent l="0" t="0" r="0" b="12700"/>
                  <wp:docPr id="9" name="图片 9" descr="DJI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JI_0010"/>
                          <pic:cNvPicPr>
                            <a:picLocks noChangeAspect="1"/>
                          </pic:cNvPicPr>
                        </pic:nvPicPr>
                        <pic:blipFill>
                          <a:blip r:embed="rId31"/>
                          <a:stretch>
                            <a:fillRect/>
                          </a:stretch>
                        </pic:blipFill>
                        <pic:spPr>
                          <a:xfrm>
                            <a:off x="0" y="0"/>
                            <a:ext cx="1181100" cy="787400"/>
                          </a:xfrm>
                          <a:prstGeom prst="rect">
                            <a:avLst/>
                          </a:prstGeom>
                        </pic:spPr>
                      </pic:pic>
                    </a:graphicData>
                  </a:graphic>
                </wp:inline>
              </w:drawing>
            </w:r>
          </w:p>
        </w:tc>
        <w:tc>
          <w:tcPr>
            <w:tcW w:w="1897" w:type="dxa"/>
            <w:shd w:val="clear" w:color="auto" w:fill="auto"/>
            <w:vAlign w:val="center"/>
          </w:tcPr>
          <w:p w14:paraId="275559E9">
            <w:pPr>
              <w:widowControl w:val="0"/>
              <w:rPr>
                <w:rFonts w:hint="default" w:ascii="Times New Roman" w:hAnsi="Times New Roman" w:eastAsia="宋体"/>
                <w:snapToGrid w:val="0"/>
                <w:kern w:val="0"/>
                <w:sz w:val="24"/>
                <w:lang w:val="en-US" w:eastAsia="zh-CN"/>
              </w:rPr>
            </w:pPr>
            <w:r>
              <w:rPr>
                <w:rFonts w:hint="eastAsia" w:ascii="Times New Roman" w:hAnsi="Times New Roman"/>
                <w:sz w:val="24"/>
              </w:rPr>
              <w:t>图1：</w:t>
            </w:r>
            <w:r>
              <w:rPr>
                <w:rFonts w:hint="eastAsia" w:ascii="Times New Roman" w:hAnsi="Times New Roman"/>
                <w:sz w:val="24"/>
                <w:lang w:val="en-US" w:eastAsia="zh-CN"/>
              </w:rPr>
              <w:t>东北角</w:t>
            </w:r>
          </w:p>
          <w:p w14:paraId="1FA57B5A">
            <w:pPr>
              <w:widowControl w:val="0"/>
              <w:jc w:val="both"/>
              <w:rPr>
                <w:rFonts w:ascii="Times New Roman" w:hAnsi="Times New Roman"/>
                <w:snapToGrid w:val="0"/>
                <w:kern w:val="0"/>
                <w:sz w:val="24"/>
              </w:rPr>
            </w:pPr>
          </w:p>
          <w:p w14:paraId="694DBAD7">
            <w:pPr>
              <w:widowControl w:val="0"/>
              <w:jc w:val="both"/>
              <w:rPr>
                <w:rFonts w:ascii="Times New Roman" w:hAnsi="Times New Roman"/>
                <w:snapToGrid w:val="0"/>
                <w:kern w:val="0"/>
                <w:sz w:val="24"/>
              </w:rPr>
            </w:pPr>
          </w:p>
          <w:p w14:paraId="4EA598A0">
            <w:pPr>
              <w:widowControl w:val="0"/>
              <w:rPr>
                <w:rFonts w:hint="eastAsia" w:ascii="Times New Roman" w:hAnsi="Times New Roman" w:eastAsia="宋体"/>
                <w:sz w:val="24"/>
                <w:lang w:val="en-US" w:eastAsia="zh-CN"/>
              </w:rPr>
            </w:pPr>
            <w:r>
              <w:rPr>
                <w:rFonts w:hint="eastAsia" w:ascii="Times New Roman" w:hAnsi="Times New Roman"/>
                <w:sz w:val="24"/>
              </w:rPr>
              <w:t>图2：</w:t>
            </w:r>
            <w:r>
              <w:rPr>
                <w:rFonts w:hint="eastAsia" w:ascii="Times New Roman" w:hAnsi="Times New Roman"/>
                <w:sz w:val="24"/>
                <w:lang w:val="en-US" w:eastAsia="zh-CN"/>
              </w:rPr>
              <w:t>俯视图</w:t>
            </w:r>
          </w:p>
          <w:p w14:paraId="718CC71E">
            <w:pPr>
              <w:widowControl w:val="0"/>
              <w:rPr>
                <w:rFonts w:hint="eastAsia" w:ascii="Times New Roman" w:hAnsi="Times New Roman" w:eastAsia="宋体" w:cs="宋体"/>
                <w:bCs/>
                <w:kern w:val="0"/>
                <w:sz w:val="24"/>
                <w:szCs w:val="24"/>
                <w:lang w:val="en-US" w:eastAsia="zh-CN" w:bidi="ar-SA"/>
              </w:rPr>
            </w:pPr>
          </w:p>
        </w:tc>
      </w:tr>
      <w:tr w14:paraId="5382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0937151">
            <w:pPr>
              <w:widowControl w:val="0"/>
              <w:rPr>
                <w:rFonts w:hint="default" w:ascii="Times New Roman" w:hAnsi="Times New Roman" w:eastAsia="宋体"/>
                <w:kern w:val="0"/>
                <w:sz w:val="24"/>
                <w:lang w:val="en-US" w:eastAsia="zh-CN"/>
              </w:rPr>
            </w:pPr>
            <w:r>
              <w:rPr>
                <w:rFonts w:hint="eastAsia" w:ascii="Times New Roman" w:hAnsi="Times New Roman"/>
                <w:kern w:val="0"/>
                <w:sz w:val="24"/>
                <w:lang w:val="en-US" w:eastAsia="zh-CN"/>
              </w:rPr>
              <w:t>13</w:t>
            </w:r>
          </w:p>
        </w:tc>
        <w:tc>
          <w:tcPr>
            <w:tcW w:w="1353" w:type="dxa"/>
            <w:shd w:val="clear" w:color="auto" w:fill="auto"/>
            <w:vAlign w:val="center"/>
          </w:tcPr>
          <w:p w14:paraId="0178E5E0">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连云港景之润建设有限公司</w:t>
            </w:r>
          </w:p>
        </w:tc>
        <w:tc>
          <w:tcPr>
            <w:tcW w:w="1265" w:type="dxa"/>
            <w:shd w:val="clear" w:color="auto" w:fill="auto"/>
            <w:vAlign w:val="center"/>
          </w:tcPr>
          <w:p w14:paraId="5A3CCC03">
            <w:pPr>
              <w:widowControl w:val="0"/>
              <w:jc w:val="both"/>
              <w:rPr>
                <w:rFonts w:hint="eastAsia" w:ascii="Times New Roman" w:hAnsi="Times New Roman" w:eastAsia="宋体" w:cs="宋体"/>
                <w:bCs/>
                <w:kern w:val="0"/>
                <w:sz w:val="24"/>
                <w:szCs w:val="24"/>
                <w:lang w:val="en-US" w:eastAsia="zh-CN" w:bidi="ar-SA"/>
              </w:rPr>
            </w:pPr>
            <w:r>
              <w:rPr>
                <w:rFonts w:hint="eastAsia" w:ascii="宋体" w:hAnsi="宋体" w:eastAsia="宋体" w:cs="宋体"/>
                <w:color w:val="auto"/>
                <w:sz w:val="24"/>
                <w:szCs w:val="24"/>
                <w:highlight w:val="none"/>
                <w:u w:val="none"/>
                <w:lang w:eastAsia="zh-CN"/>
              </w:rPr>
              <w:t>日出东方年产30万套电控组件、10万套空气能零部件项目7#厂房</w:t>
            </w:r>
          </w:p>
        </w:tc>
        <w:tc>
          <w:tcPr>
            <w:tcW w:w="2176" w:type="dxa"/>
            <w:shd w:val="clear" w:color="auto" w:fill="auto"/>
            <w:vAlign w:val="center"/>
          </w:tcPr>
          <w:p w14:paraId="260D8DB9">
            <w:pPr>
              <w:keepNext w:val="0"/>
              <w:keepLines w:val="0"/>
              <w:pageBreakBefore w:val="0"/>
              <w:widowControl/>
              <w:tabs>
                <w:tab w:val="right" w:pos="8640"/>
              </w:tabs>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bCs/>
                <w:iCs/>
                <w:kern w:val="2"/>
                <w:sz w:val="24"/>
                <w:szCs w:val="24"/>
                <w:lang w:val="en-US" w:eastAsia="zh-CN" w:bidi="ar-SA"/>
              </w:rPr>
            </w:pPr>
            <w:r>
              <w:rPr>
                <w:rFonts w:hint="eastAsia" w:ascii="宋体" w:hAnsi="宋体" w:eastAsia="宋体" w:cs="宋体"/>
                <w:sz w:val="24"/>
                <w:szCs w:val="24"/>
              </w:rPr>
              <w:t>本工程为</w:t>
            </w:r>
            <w:r>
              <w:rPr>
                <w:rFonts w:hint="eastAsia" w:ascii="宋体" w:hAnsi="宋体" w:cs="宋体"/>
                <w:sz w:val="24"/>
                <w:szCs w:val="24"/>
                <w:lang w:val="en-US" w:eastAsia="zh-CN"/>
              </w:rPr>
              <w:t>日出东方</w:t>
            </w:r>
            <w:r>
              <w:rPr>
                <w:rFonts w:hint="eastAsia" w:ascii="宋体" w:hAnsi="宋体" w:eastAsia="宋体" w:cs="宋体"/>
                <w:sz w:val="24"/>
                <w:szCs w:val="24"/>
                <w:lang w:eastAsia="zh-CN"/>
              </w:rPr>
              <w:t>年产</w:t>
            </w:r>
            <w:r>
              <w:rPr>
                <w:rFonts w:hint="eastAsia" w:ascii="宋体" w:hAnsi="宋体" w:cs="宋体"/>
                <w:sz w:val="24"/>
                <w:szCs w:val="24"/>
                <w:lang w:val="en-US" w:eastAsia="zh-CN"/>
              </w:rPr>
              <w:t>30万套电控组件、10万套空气能零部件项目-7#厂房</w:t>
            </w:r>
            <w:r>
              <w:rPr>
                <w:rFonts w:hint="eastAsia" w:ascii="宋体" w:hAnsi="宋体" w:eastAsia="宋体" w:cs="宋体"/>
                <w:sz w:val="24"/>
                <w:szCs w:val="24"/>
              </w:rPr>
              <w:t>，位于</w:t>
            </w:r>
            <w:r>
              <w:rPr>
                <w:rFonts w:hint="eastAsia" w:ascii="宋体" w:hAnsi="宋体" w:cs="宋体"/>
                <w:sz w:val="24"/>
                <w:szCs w:val="24"/>
                <w:lang w:val="en-US" w:eastAsia="zh-CN"/>
              </w:rPr>
              <w:t>连云港瀛洲南路111号</w:t>
            </w:r>
            <w:r>
              <w:rPr>
                <w:rFonts w:hint="eastAsia" w:ascii="宋体" w:hAnsi="宋体" w:eastAsia="宋体" w:cs="宋体"/>
                <w:sz w:val="24"/>
                <w:szCs w:val="24"/>
              </w:rPr>
              <w:t>，建筑面积</w:t>
            </w:r>
            <w:r>
              <w:rPr>
                <w:rFonts w:hint="eastAsia" w:ascii="宋体" w:hAnsi="宋体" w:cs="宋体"/>
                <w:sz w:val="24"/>
                <w:szCs w:val="24"/>
                <w:lang w:val="en-US" w:eastAsia="zh-CN"/>
              </w:rPr>
              <w:t>32652.31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，共四层</w:t>
            </w:r>
            <w:r>
              <w:rPr>
                <w:rFonts w:hint="eastAsia" w:ascii="宋体" w:hAnsi="宋体" w:eastAsia="宋体" w:cs="宋体"/>
                <w:sz w:val="24"/>
                <w:szCs w:val="24"/>
                <w:lang w:val="en-US" w:eastAsia="zh-CN"/>
              </w:rPr>
              <w:t>，</w:t>
            </w:r>
            <w:r>
              <w:rPr>
                <w:rFonts w:hint="eastAsia" w:ascii="宋体" w:hAnsi="宋体" w:eastAsia="宋体" w:cs="宋体"/>
                <w:sz w:val="24"/>
                <w:szCs w:val="24"/>
              </w:rPr>
              <w:t>主体为框</w:t>
            </w:r>
            <w:r>
              <w:rPr>
                <w:rFonts w:hint="eastAsia" w:ascii="宋体" w:hAnsi="宋体" w:eastAsia="宋体" w:cs="宋体"/>
                <w:sz w:val="24"/>
                <w:szCs w:val="24"/>
                <w:lang w:eastAsia="zh-CN"/>
              </w:rPr>
              <w:t>架</w:t>
            </w:r>
            <w:r>
              <w:rPr>
                <w:rFonts w:hint="eastAsia" w:ascii="宋体" w:hAnsi="宋体" w:eastAsia="宋体" w:cs="宋体"/>
                <w:sz w:val="24"/>
                <w:szCs w:val="24"/>
              </w:rPr>
              <w:t>结构，建筑高度为24米</w:t>
            </w:r>
            <w:r>
              <w:rPr>
                <w:rFonts w:hint="eastAsia" w:ascii="宋体" w:hAnsi="宋体" w:cs="宋体"/>
                <w:sz w:val="24"/>
                <w:szCs w:val="24"/>
                <w:lang w:eastAsia="zh-CN"/>
              </w:rPr>
              <w:t>，</w:t>
            </w:r>
            <w:r>
              <w:rPr>
                <w:rFonts w:hint="eastAsia" w:ascii="宋体" w:hAnsi="宋体" w:eastAsia="宋体" w:cs="宋体"/>
                <w:sz w:val="24"/>
                <w:szCs w:val="24"/>
              </w:rPr>
              <w:t>抗震设防烈度7度，</w:t>
            </w:r>
            <w:r>
              <w:rPr>
                <w:rFonts w:hint="eastAsia" w:ascii="宋体" w:hAnsi="宋体" w:eastAsia="宋体" w:cs="宋体"/>
                <w:kern w:val="0"/>
                <w:sz w:val="24"/>
                <w:szCs w:val="24"/>
              </w:rPr>
              <w:t>建筑类别为</w:t>
            </w:r>
            <w:r>
              <w:rPr>
                <w:rFonts w:hint="eastAsia" w:ascii="宋体" w:hAnsi="宋体" w:eastAsia="宋体" w:cs="宋体"/>
                <w:kern w:val="0"/>
                <w:sz w:val="24"/>
                <w:szCs w:val="24"/>
                <w:lang w:eastAsia="zh-CN"/>
              </w:rPr>
              <w:t>二</w:t>
            </w:r>
            <w:r>
              <w:rPr>
                <w:rFonts w:hint="eastAsia" w:ascii="宋体" w:hAnsi="宋体" w:eastAsia="宋体" w:cs="宋体"/>
                <w:kern w:val="0"/>
                <w:sz w:val="24"/>
                <w:szCs w:val="24"/>
              </w:rPr>
              <w:t>类建筑，耐火等级为</w:t>
            </w:r>
            <w:r>
              <w:rPr>
                <w:rFonts w:hint="eastAsia" w:ascii="宋体" w:hAnsi="宋体" w:eastAsia="宋体" w:cs="宋体"/>
                <w:kern w:val="0"/>
                <w:sz w:val="24"/>
                <w:szCs w:val="24"/>
                <w:lang w:eastAsia="zh-CN"/>
              </w:rPr>
              <w:t>二</w:t>
            </w:r>
            <w:r>
              <w:rPr>
                <w:rFonts w:hint="eastAsia" w:ascii="宋体" w:hAnsi="宋体" w:eastAsia="宋体" w:cs="宋体"/>
                <w:kern w:val="0"/>
                <w:sz w:val="24"/>
                <w:szCs w:val="24"/>
              </w:rPr>
              <w:t>级，建筑使用年限:50年；防水等级为二级</w:t>
            </w:r>
            <w:r>
              <w:rPr>
                <w:rFonts w:hint="eastAsia" w:ascii="宋体" w:hAnsi="宋体" w:eastAsia="宋体" w:cs="宋体"/>
                <w:sz w:val="24"/>
                <w:szCs w:val="24"/>
              </w:rPr>
              <w:t>。该项目是中国空气能热泵行业的首座零碳大楼，所有能源由外墙BIPV板、屋顶光伏和储能系统提供，真正实现了建筑内部绿色能源自给自足</w:t>
            </w:r>
            <w:r>
              <w:rPr>
                <w:rFonts w:hint="eastAsia" w:cs="宋体"/>
                <w:sz w:val="24"/>
                <w:szCs w:val="24"/>
                <w:lang w:eastAsia="zh-CN"/>
              </w:rPr>
              <w:t>。</w:t>
            </w:r>
          </w:p>
        </w:tc>
        <w:tc>
          <w:tcPr>
            <w:tcW w:w="1133" w:type="dxa"/>
            <w:shd w:val="clear" w:color="auto" w:fill="auto"/>
            <w:vAlign w:val="center"/>
          </w:tcPr>
          <w:p w14:paraId="276318AE">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lang w:val="en-US" w:eastAsia="zh-CN"/>
              </w:rPr>
              <w:t>2025年1月23日</w:t>
            </w:r>
          </w:p>
        </w:tc>
        <w:tc>
          <w:tcPr>
            <w:tcW w:w="1691" w:type="dxa"/>
            <w:shd w:val="clear" w:color="auto" w:fill="auto"/>
            <w:vAlign w:val="center"/>
          </w:tcPr>
          <w:p w14:paraId="600DE13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1、南立面和西立面外墙采用</w:t>
            </w:r>
            <w:r>
              <w:rPr>
                <w:rFonts w:hint="eastAsia" w:ascii="Times New Roman" w:hAnsi="Times New Roman" w:eastAsia="宋体" w:cs="宋体"/>
                <w:snapToGrid w:val="0"/>
                <w:kern w:val="0"/>
                <w:sz w:val="22"/>
                <w:szCs w:val="22"/>
              </w:rPr>
              <w:t>BIPV</w:t>
            </w:r>
            <w:r>
              <w:rPr>
                <w:rFonts w:hint="eastAsia" w:ascii="Times New Roman" w:hAnsi="Times New Roman" w:eastAsia="宋体" w:cs="宋体"/>
                <w:snapToGrid w:val="0"/>
                <w:kern w:val="0"/>
                <w:sz w:val="22"/>
                <w:szCs w:val="22"/>
                <w:lang w:val="en-US" w:eastAsia="zh-CN"/>
              </w:rPr>
              <w:t>光伏</w:t>
            </w:r>
            <w:r>
              <w:rPr>
                <w:rFonts w:hint="eastAsia" w:ascii="Times New Roman" w:hAnsi="Times New Roman" w:eastAsia="宋体" w:cs="宋体"/>
                <w:snapToGrid w:val="0"/>
                <w:kern w:val="0"/>
                <w:sz w:val="22"/>
                <w:szCs w:val="22"/>
              </w:rPr>
              <w:t>板</w:t>
            </w:r>
            <w:r>
              <w:rPr>
                <w:rFonts w:hint="eastAsia" w:ascii="Times New Roman" w:hAnsi="Times New Roman" w:eastAsia="宋体" w:cs="宋体"/>
                <w:snapToGrid w:val="0"/>
                <w:kern w:val="0"/>
                <w:sz w:val="22"/>
                <w:szCs w:val="22"/>
                <w:lang w:eastAsia="zh-CN"/>
              </w:rPr>
              <w:t>；</w:t>
            </w:r>
          </w:p>
          <w:p w14:paraId="54FF1948">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2、东立面和北立面外墙采用水包砂多彩漆；</w:t>
            </w:r>
          </w:p>
          <w:p w14:paraId="51B9CEA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3、屋面保温层采用聚氨酯现场喷涂发泡；</w:t>
            </w:r>
          </w:p>
          <w:p w14:paraId="6578F613">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eastAsia="宋体" w:cs="宋体"/>
                <w:snapToGrid w:val="0"/>
                <w:kern w:val="0"/>
                <w:sz w:val="22"/>
                <w:szCs w:val="22"/>
                <w:lang w:val="en-US" w:eastAsia="zh-CN"/>
              </w:rPr>
              <w:t>4、室外散水做成与主体结构一体的钢筋混凝土构件，减少不均匀沉降。</w:t>
            </w:r>
          </w:p>
        </w:tc>
        <w:tc>
          <w:tcPr>
            <w:tcW w:w="1852" w:type="dxa"/>
            <w:shd w:val="clear" w:color="auto" w:fill="auto"/>
            <w:vAlign w:val="center"/>
          </w:tcPr>
          <w:p w14:paraId="17CE2AE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1、</w:t>
            </w:r>
            <w:r>
              <w:rPr>
                <w:rFonts w:hint="eastAsia" w:ascii="Times New Roman" w:hAnsi="Times New Roman" w:eastAsia="宋体" w:cs="宋体"/>
                <w:snapToGrid w:val="0"/>
                <w:kern w:val="0"/>
                <w:sz w:val="22"/>
                <w:szCs w:val="22"/>
                <w:lang w:eastAsia="zh-CN"/>
              </w:rPr>
              <w:t>获得“连云港市</w:t>
            </w:r>
            <w:r>
              <w:rPr>
                <w:rFonts w:hint="eastAsia" w:ascii="Times New Roman" w:hAnsi="Times New Roman" w:eastAsia="宋体" w:cs="宋体"/>
                <w:snapToGrid w:val="0"/>
                <w:kern w:val="0"/>
                <w:sz w:val="22"/>
                <w:szCs w:val="22"/>
                <w:lang w:val="en-US" w:eastAsia="zh-CN"/>
              </w:rPr>
              <w:t>2023年度下半年建筑施工标准化文明示范工地</w:t>
            </w:r>
            <w:r>
              <w:rPr>
                <w:rFonts w:hint="eastAsia" w:ascii="Times New Roman" w:hAnsi="Times New Roman" w:eastAsia="宋体" w:cs="宋体"/>
                <w:snapToGrid w:val="0"/>
                <w:kern w:val="0"/>
                <w:sz w:val="22"/>
                <w:szCs w:val="22"/>
                <w:lang w:eastAsia="zh-CN"/>
              </w:rPr>
              <w:t>”；</w:t>
            </w:r>
          </w:p>
          <w:p w14:paraId="33037D6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2、</w:t>
            </w:r>
            <w:r>
              <w:rPr>
                <w:rFonts w:hint="eastAsia" w:ascii="Times New Roman" w:hAnsi="Times New Roman" w:eastAsia="宋体" w:cs="宋体"/>
                <w:snapToGrid w:val="0"/>
                <w:kern w:val="0"/>
                <w:sz w:val="22"/>
                <w:szCs w:val="22"/>
                <w:lang w:eastAsia="zh-CN"/>
              </w:rPr>
              <w:t>获得“</w:t>
            </w:r>
            <w:r>
              <w:rPr>
                <w:rFonts w:hint="eastAsia" w:ascii="Times New Roman" w:hAnsi="Times New Roman" w:eastAsia="宋体" w:cs="宋体"/>
                <w:snapToGrid w:val="0"/>
                <w:kern w:val="0"/>
                <w:sz w:val="22"/>
                <w:szCs w:val="22"/>
                <w:lang w:val="en-US" w:eastAsia="zh-CN"/>
              </w:rPr>
              <w:t>2024年度市优质结构工程</w:t>
            </w:r>
            <w:r>
              <w:rPr>
                <w:rFonts w:hint="eastAsia" w:ascii="Times New Roman" w:hAnsi="Times New Roman" w:eastAsia="宋体" w:cs="宋体"/>
                <w:snapToGrid w:val="0"/>
                <w:kern w:val="0"/>
                <w:sz w:val="22"/>
                <w:szCs w:val="22"/>
                <w:lang w:eastAsia="zh-CN"/>
              </w:rPr>
              <w:t>”；</w:t>
            </w:r>
          </w:p>
          <w:p w14:paraId="1260814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3、零碳建筑设计标识和绿色建筑；</w:t>
            </w:r>
          </w:p>
          <w:p w14:paraId="1115274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4、质量管理成果《提高外墙水包砂多彩漆施工质量一次合格率》获得连云港市一等奖，江苏省‖类成果奖；</w:t>
            </w:r>
          </w:p>
          <w:p w14:paraId="628A76AD">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宋体"/>
                <w:snapToGrid w:val="0"/>
                <w:kern w:val="0"/>
                <w:sz w:val="22"/>
                <w:szCs w:val="22"/>
                <w:lang w:val="en-US" w:eastAsia="zh-CN"/>
              </w:rPr>
            </w:pPr>
            <w:r>
              <w:rPr>
                <w:rFonts w:hint="eastAsia" w:ascii="Times New Roman" w:hAnsi="Times New Roman" w:eastAsia="宋体" w:cs="宋体"/>
                <w:snapToGrid w:val="0"/>
                <w:kern w:val="0"/>
                <w:sz w:val="22"/>
                <w:szCs w:val="22"/>
                <w:lang w:val="en-US" w:eastAsia="zh-CN"/>
              </w:rPr>
              <w:t>5、质量管理成果《提高屋面聚氨酯发泡保温施工质量一次合格率》获得连云港市二等奖，江苏省Ⅲ类成果奖。</w:t>
            </w:r>
          </w:p>
          <w:p w14:paraId="4EBCC17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宋体"/>
                <w:snapToGrid w:val="0"/>
                <w:kern w:val="0"/>
                <w:sz w:val="22"/>
                <w:szCs w:val="22"/>
                <w:lang w:val="en-US" w:eastAsia="zh-CN"/>
              </w:rPr>
            </w:pPr>
          </w:p>
        </w:tc>
        <w:tc>
          <w:tcPr>
            <w:tcW w:w="2127" w:type="dxa"/>
            <w:shd w:val="clear" w:color="auto" w:fill="auto"/>
            <w:vAlign w:val="center"/>
          </w:tcPr>
          <w:p w14:paraId="5BADBA2E">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eastAsia="宋体"/>
                <w:kern w:val="0"/>
                <w:sz w:val="24"/>
                <w:lang w:eastAsia="zh-CN"/>
              </w:rPr>
              <w:drawing>
                <wp:inline distT="0" distB="0" distL="114300" distR="114300">
                  <wp:extent cx="1207135" cy="1172845"/>
                  <wp:effectExtent l="0" t="0" r="12065" b="8255"/>
                  <wp:docPr id="25" name="图片 25" descr="55752538276801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57525382768017298"/>
                          <pic:cNvPicPr>
                            <a:picLocks noChangeAspect="1"/>
                          </pic:cNvPicPr>
                        </pic:nvPicPr>
                        <pic:blipFill>
                          <a:blip r:embed="rId32"/>
                          <a:stretch>
                            <a:fillRect/>
                          </a:stretch>
                        </pic:blipFill>
                        <pic:spPr>
                          <a:xfrm>
                            <a:off x="0" y="0"/>
                            <a:ext cx="1207135" cy="1172845"/>
                          </a:xfrm>
                          <a:prstGeom prst="rect">
                            <a:avLst/>
                          </a:prstGeom>
                        </pic:spPr>
                      </pic:pic>
                    </a:graphicData>
                  </a:graphic>
                </wp:inline>
              </w:drawing>
            </w:r>
            <w:r>
              <w:rPr>
                <w:rFonts w:hint="eastAsia" w:ascii="Times New Roman" w:hAnsi="Times New Roman" w:eastAsia="宋体"/>
                <w:kern w:val="0"/>
                <w:sz w:val="24"/>
                <w:lang w:eastAsia="zh-CN"/>
              </w:rPr>
              <w:drawing>
                <wp:inline distT="0" distB="0" distL="114300" distR="114300">
                  <wp:extent cx="1202690" cy="1219200"/>
                  <wp:effectExtent l="0" t="0" r="16510" b="0"/>
                  <wp:docPr id="26" name="图片 26" descr="56714588404066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67145884040665233"/>
                          <pic:cNvPicPr>
                            <a:picLocks noChangeAspect="1"/>
                          </pic:cNvPicPr>
                        </pic:nvPicPr>
                        <pic:blipFill>
                          <a:blip r:embed="rId33"/>
                          <a:stretch>
                            <a:fillRect/>
                          </a:stretch>
                        </pic:blipFill>
                        <pic:spPr>
                          <a:xfrm>
                            <a:off x="0" y="0"/>
                            <a:ext cx="1202690" cy="1219200"/>
                          </a:xfrm>
                          <a:prstGeom prst="rect">
                            <a:avLst/>
                          </a:prstGeom>
                        </pic:spPr>
                      </pic:pic>
                    </a:graphicData>
                  </a:graphic>
                </wp:inline>
              </w:drawing>
            </w:r>
          </w:p>
        </w:tc>
        <w:tc>
          <w:tcPr>
            <w:tcW w:w="1897" w:type="dxa"/>
            <w:shd w:val="clear" w:color="auto" w:fill="auto"/>
            <w:vAlign w:val="center"/>
          </w:tcPr>
          <w:p w14:paraId="50816DCD">
            <w:pPr>
              <w:widowControl w:val="0"/>
              <w:rPr>
                <w:rFonts w:ascii="Times New Roman" w:hAnsi="Times New Roman"/>
                <w:snapToGrid w:val="0"/>
                <w:kern w:val="0"/>
                <w:sz w:val="24"/>
              </w:rPr>
            </w:pPr>
            <w:r>
              <w:rPr>
                <w:rFonts w:hint="eastAsia" w:ascii="Times New Roman" w:hAnsi="Times New Roman"/>
                <w:sz w:val="24"/>
              </w:rPr>
              <w:t>图1：</w:t>
            </w:r>
            <w:r>
              <w:rPr>
                <w:rFonts w:hint="eastAsia" w:ascii="Times New Roman" w:hAnsi="Times New Roman"/>
                <w:snapToGrid w:val="0"/>
                <w:kern w:val="0"/>
                <w:sz w:val="24"/>
                <w:lang w:val="en-US" w:eastAsia="zh-CN"/>
              </w:rPr>
              <w:t>外墙</w:t>
            </w:r>
            <w:r>
              <w:rPr>
                <w:rFonts w:hint="eastAsia" w:ascii="宋体" w:hAnsi="宋体" w:eastAsia="宋体" w:cs="宋体"/>
                <w:sz w:val="24"/>
                <w:szCs w:val="24"/>
              </w:rPr>
              <w:t>BIPV</w:t>
            </w:r>
            <w:r>
              <w:rPr>
                <w:rFonts w:hint="eastAsia" w:ascii="宋体" w:hAnsi="宋体" w:eastAsia="宋体" w:cs="宋体"/>
                <w:sz w:val="24"/>
                <w:szCs w:val="24"/>
                <w:lang w:val="en-US" w:eastAsia="zh-CN"/>
              </w:rPr>
              <w:t>光伏</w:t>
            </w:r>
            <w:r>
              <w:rPr>
                <w:rFonts w:hint="eastAsia" w:ascii="宋体" w:hAnsi="宋体" w:eastAsia="宋体" w:cs="宋体"/>
                <w:sz w:val="24"/>
                <w:szCs w:val="24"/>
              </w:rPr>
              <w:t>板</w:t>
            </w:r>
          </w:p>
          <w:p w14:paraId="44761551">
            <w:pPr>
              <w:widowControl w:val="0"/>
              <w:jc w:val="both"/>
              <w:rPr>
                <w:rFonts w:ascii="Times New Roman" w:hAnsi="Times New Roman"/>
                <w:snapToGrid w:val="0"/>
                <w:kern w:val="0"/>
                <w:sz w:val="24"/>
              </w:rPr>
            </w:pPr>
          </w:p>
          <w:p w14:paraId="5CB10CBB">
            <w:pPr>
              <w:widowControl w:val="0"/>
              <w:jc w:val="both"/>
              <w:rPr>
                <w:rFonts w:ascii="Times New Roman" w:hAnsi="Times New Roman"/>
                <w:snapToGrid w:val="0"/>
                <w:kern w:val="0"/>
                <w:sz w:val="24"/>
              </w:rPr>
            </w:pPr>
          </w:p>
          <w:p w14:paraId="220EB0C0">
            <w:pPr>
              <w:widowControl w:val="0"/>
              <w:rPr>
                <w:rFonts w:ascii="Times New Roman" w:hAnsi="Times New Roman"/>
                <w:sz w:val="24"/>
              </w:rPr>
            </w:pPr>
            <w:r>
              <w:rPr>
                <w:rFonts w:hint="eastAsia" w:ascii="Times New Roman" w:hAnsi="Times New Roman"/>
                <w:sz w:val="24"/>
              </w:rPr>
              <w:t>图2：</w:t>
            </w:r>
            <w:r>
              <w:rPr>
                <w:rFonts w:hint="eastAsia" w:ascii="Times New Roman" w:hAnsi="Times New Roman"/>
                <w:sz w:val="24"/>
                <w:lang w:val="en-US" w:eastAsia="zh-CN"/>
              </w:rPr>
              <w:t>外墙</w:t>
            </w:r>
            <w:r>
              <w:rPr>
                <w:rFonts w:hint="eastAsia" w:ascii="Times New Roman" w:hAnsi="Times New Roman"/>
                <w:snapToGrid w:val="0"/>
                <w:kern w:val="0"/>
                <w:sz w:val="24"/>
                <w:lang w:val="en-US" w:eastAsia="zh-CN"/>
              </w:rPr>
              <w:t>水包砂多彩漆</w:t>
            </w:r>
          </w:p>
          <w:p w14:paraId="42450380">
            <w:pPr>
              <w:widowControl w:val="0"/>
              <w:rPr>
                <w:rFonts w:hint="eastAsia" w:ascii="Times New Roman" w:hAnsi="Times New Roman" w:eastAsia="宋体" w:cs="宋体"/>
                <w:bCs/>
                <w:kern w:val="0"/>
                <w:sz w:val="24"/>
                <w:szCs w:val="24"/>
                <w:lang w:val="en-US" w:eastAsia="zh-CN" w:bidi="ar-SA"/>
              </w:rPr>
            </w:pPr>
          </w:p>
        </w:tc>
      </w:tr>
      <w:tr w14:paraId="3685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39F94AB">
            <w:pPr>
              <w:widowControl w:val="0"/>
              <w:rPr>
                <w:rFonts w:hint="default" w:ascii="Times New Roman" w:hAnsi="Times New Roman" w:eastAsia="宋体"/>
                <w:kern w:val="0"/>
                <w:sz w:val="24"/>
                <w:lang w:val="en-US" w:eastAsia="zh-CN"/>
              </w:rPr>
            </w:pPr>
            <w:r>
              <w:rPr>
                <w:rFonts w:hint="eastAsia" w:ascii="Times New Roman" w:hAnsi="Times New Roman"/>
                <w:kern w:val="0"/>
                <w:sz w:val="24"/>
                <w:lang w:val="en-US" w:eastAsia="zh-CN"/>
              </w:rPr>
              <w:t>14</w:t>
            </w:r>
          </w:p>
        </w:tc>
        <w:tc>
          <w:tcPr>
            <w:tcW w:w="1353" w:type="dxa"/>
            <w:shd w:val="clear" w:color="auto" w:fill="auto"/>
            <w:vAlign w:val="center"/>
          </w:tcPr>
          <w:p w14:paraId="38288287">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连云港徐圩建筑工程有限公司</w:t>
            </w:r>
          </w:p>
        </w:tc>
        <w:tc>
          <w:tcPr>
            <w:tcW w:w="1265" w:type="dxa"/>
            <w:shd w:val="clear" w:color="auto" w:fill="auto"/>
            <w:vAlign w:val="center"/>
          </w:tcPr>
          <w:p w14:paraId="266B22C8">
            <w:pPr>
              <w:widowControl w:val="0"/>
              <w:rPr>
                <w:rFonts w:hint="eastAsia" w:ascii="Times New Roman" w:hAnsi="Times New Roman" w:eastAsia="宋体" w:cs="宋体"/>
                <w:bCs/>
                <w:kern w:val="0"/>
                <w:sz w:val="24"/>
                <w:szCs w:val="24"/>
                <w:lang w:val="en-US" w:eastAsia="zh-CN" w:bidi="ar-SA"/>
              </w:rPr>
            </w:pPr>
            <w:r>
              <w:rPr>
                <w:rFonts w:hint="eastAsia" w:eastAsia="宋体"/>
                <w:sz w:val="21"/>
                <w:lang w:val="en-US" w:eastAsia="zh-CN"/>
              </w:rPr>
              <w:t>徐圩新区口岸商务服务中心一期（</w:t>
            </w:r>
            <w:r>
              <w:rPr>
                <w:rFonts w:hint="default" w:ascii="Times New Roman" w:hAnsi="Times New Roman" w:eastAsia="宋体" w:cs="Times New Roman"/>
                <w:sz w:val="21"/>
                <w:lang w:val="en-US" w:eastAsia="zh-CN"/>
              </w:rPr>
              <w:t>1#</w:t>
            </w:r>
            <w:r>
              <w:rPr>
                <w:rFonts w:hint="eastAsia" w:eastAsia="宋体"/>
                <w:sz w:val="21"/>
                <w:lang w:val="en-US" w:eastAsia="zh-CN"/>
              </w:rPr>
              <w:t>楼、</w:t>
            </w:r>
            <w:r>
              <w:rPr>
                <w:rFonts w:hint="eastAsia" w:ascii="Times New Roman" w:hAnsi="Times New Roman" w:eastAsia="宋体" w:cs="Times New Roman"/>
                <w:sz w:val="21"/>
                <w:lang w:val="en-US" w:eastAsia="zh-CN"/>
              </w:rPr>
              <w:t>2#</w:t>
            </w:r>
            <w:r>
              <w:rPr>
                <w:rFonts w:hint="eastAsia" w:eastAsia="宋体"/>
                <w:sz w:val="21"/>
                <w:lang w:val="en-US" w:eastAsia="zh-CN"/>
              </w:rPr>
              <w:t>楼、</w:t>
            </w:r>
            <w:r>
              <w:rPr>
                <w:rFonts w:hint="eastAsia" w:ascii="Times New Roman" w:hAnsi="Times New Roman" w:eastAsia="宋体" w:cs="Times New Roman"/>
                <w:sz w:val="21"/>
                <w:lang w:val="en-US" w:eastAsia="zh-CN"/>
              </w:rPr>
              <w:t>3#</w:t>
            </w:r>
            <w:r>
              <w:rPr>
                <w:rFonts w:hint="eastAsia" w:eastAsia="宋体"/>
                <w:sz w:val="21"/>
                <w:lang w:val="en-US" w:eastAsia="zh-CN"/>
              </w:rPr>
              <w:t>楼、</w:t>
            </w:r>
            <w:r>
              <w:rPr>
                <w:rFonts w:hint="eastAsia" w:ascii="Times New Roman" w:hAnsi="Times New Roman" w:eastAsia="宋体" w:cs="Times New Roman"/>
                <w:sz w:val="21"/>
                <w:lang w:val="en-US" w:eastAsia="zh-CN"/>
              </w:rPr>
              <w:t>4#</w:t>
            </w:r>
            <w:r>
              <w:rPr>
                <w:rFonts w:hint="eastAsia" w:eastAsia="宋体"/>
                <w:sz w:val="21"/>
                <w:lang w:val="en-US" w:eastAsia="zh-CN"/>
              </w:rPr>
              <w:t>楼、地下室）</w:t>
            </w:r>
          </w:p>
        </w:tc>
        <w:tc>
          <w:tcPr>
            <w:tcW w:w="2176" w:type="dxa"/>
            <w:shd w:val="clear" w:color="auto" w:fill="auto"/>
            <w:vAlign w:val="center"/>
          </w:tcPr>
          <w:p w14:paraId="138ED862">
            <w:pPr>
              <w:widowControl w:val="0"/>
              <w:rPr>
                <w:rFonts w:hint="eastAsia" w:ascii="Times New Roman" w:hAnsi="Times New Roman" w:eastAsia="宋体" w:cs="宋体"/>
                <w:bCs/>
                <w:iCs/>
                <w:kern w:val="2"/>
                <w:sz w:val="24"/>
                <w:szCs w:val="24"/>
                <w:lang w:val="en-US" w:eastAsia="zh-CN" w:bidi="ar-SA"/>
              </w:rPr>
            </w:pPr>
            <w:r>
              <w:rPr>
                <w:rFonts w:hint="eastAsia" w:ascii="宋体" w:hAnsi="宋体" w:eastAsia="宋体" w:cs="宋体"/>
                <w:sz w:val="24"/>
              </w:rPr>
              <w:t>本项目建筑主体包含4栋框架结构建筑</w:t>
            </w:r>
            <w:r>
              <w:rPr>
                <w:rFonts w:hint="eastAsia" w:cs="宋体"/>
                <w:sz w:val="24"/>
                <w:lang w:val="en-US" w:eastAsia="zh-CN"/>
              </w:rPr>
              <w:t>和地下室，</w:t>
            </w:r>
            <w:r>
              <w:rPr>
                <w:rFonts w:hint="eastAsia" w:ascii="宋体" w:hAnsi="宋体" w:eastAsia="宋体" w:cs="宋体"/>
                <w:sz w:val="24"/>
                <w:lang w:val="en-US" w:eastAsia="zh-CN"/>
              </w:rPr>
              <w:t>基础采用预应力混凝土方桩基础，主体为框架结构，地下一层</w:t>
            </w:r>
            <w:r>
              <w:rPr>
                <w:rFonts w:hint="eastAsia" w:cs="宋体"/>
                <w:sz w:val="24"/>
                <w:lang w:val="en-US" w:eastAsia="zh-CN"/>
              </w:rPr>
              <w:t>，地上11/10层，总建筑面积131026㎡二次结构填充砌墙外墙采用加气砼砌块</w:t>
            </w:r>
            <w:r>
              <w:rPr>
                <w:rFonts w:hint="eastAsia" w:ascii="宋体" w:hAnsi="宋体" w:eastAsia="宋体" w:cs="宋体"/>
                <w:sz w:val="24"/>
                <w:lang w:val="en-US" w:eastAsia="zh-CN"/>
              </w:rPr>
              <w:t>，内隔墙为ALC板</w:t>
            </w:r>
            <w:r>
              <w:rPr>
                <w:rFonts w:hint="eastAsia" w:ascii="宋体" w:hAnsi="宋体" w:eastAsia="宋体" w:cs="宋体"/>
                <w:sz w:val="24"/>
                <w:lang w:eastAsia="zh-CN"/>
              </w:rPr>
              <w:t>。</w:t>
            </w:r>
          </w:p>
        </w:tc>
        <w:tc>
          <w:tcPr>
            <w:tcW w:w="1133" w:type="dxa"/>
            <w:shd w:val="clear" w:color="auto" w:fill="auto"/>
            <w:vAlign w:val="center"/>
          </w:tcPr>
          <w:p w14:paraId="148D36B7">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rPr>
              <w:t>202</w:t>
            </w:r>
            <w:r>
              <w:rPr>
                <w:rFonts w:hint="eastAsia" w:ascii="Times New Roman" w:hAnsi="Times New Roman"/>
                <w:snapToGrid w:val="0"/>
                <w:kern w:val="0"/>
                <w:sz w:val="24"/>
                <w:lang w:val="en-US" w:eastAsia="zh-CN"/>
              </w:rPr>
              <w:t>4</w:t>
            </w:r>
            <w:r>
              <w:rPr>
                <w:rFonts w:hint="eastAsia" w:ascii="Times New Roman" w:hAnsi="Times New Roman"/>
                <w:snapToGrid w:val="0"/>
                <w:kern w:val="0"/>
                <w:sz w:val="24"/>
              </w:rPr>
              <w:t>年</w:t>
            </w:r>
            <w:r>
              <w:rPr>
                <w:rFonts w:hint="eastAsia" w:ascii="Times New Roman" w:hAnsi="Times New Roman"/>
                <w:snapToGrid w:val="0"/>
                <w:kern w:val="0"/>
                <w:sz w:val="24"/>
                <w:lang w:val="en-US" w:eastAsia="zh-CN"/>
              </w:rPr>
              <w:t>1</w:t>
            </w:r>
            <w:r>
              <w:rPr>
                <w:rFonts w:hint="eastAsia" w:ascii="Times New Roman" w:hAnsi="Times New Roman"/>
                <w:snapToGrid w:val="0"/>
                <w:kern w:val="0"/>
                <w:sz w:val="24"/>
              </w:rPr>
              <w:t>月</w:t>
            </w:r>
            <w:r>
              <w:rPr>
                <w:rFonts w:hint="eastAsia" w:ascii="Times New Roman" w:hAnsi="Times New Roman"/>
                <w:snapToGrid w:val="0"/>
                <w:kern w:val="0"/>
                <w:sz w:val="24"/>
                <w:lang w:val="en-US" w:eastAsia="zh-CN"/>
              </w:rPr>
              <w:t>24</w:t>
            </w:r>
            <w:r>
              <w:rPr>
                <w:rFonts w:hint="eastAsia" w:ascii="Times New Roman" w:hAnsi="Times New Roman"/>
                <w:snapToGrid w:val="0"/>
                <w:kern w:val="0"/>
                <w:sz w:val="24"/>
              </w:rPr>
              <w:t>日</w:t>
            </w:r>
          </w:p>
        </w:tc>
        <w:tc>
          <w:tcPr>
            <w:tcW w:w="1691" w:type="dxa"/>
            <w:shd w:val="clear" w:color="auto" w:fill="auto"/>
            <w:vAlign w:val="center"/>
          </w:tcPr>
          <w:p w14:paraId="26BAC0D9">
            <w:pPr>
              <w:widowControl w:val="0"/>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 xml:space="preserve"> </w:t>
            </w:r>
            <w:r>
              <w:rPr>
                <w:rFonts w:hint="eastAsia" w:ascii="宋体" w:hAnsi="宋体" w:eastAsia="宋体" w:cs="宋体"/>
                <w:sz w:val="24"/>
              </w:rPr>
              <w:t>口岸服务中心项目依托新区商务核心区，项目定位为短、中、长期商住客人提供便捷舒适的住宿环境同时兼顾商务办公的功能，打造一个集居住、办公与零售商业的城市综合体，从而提升云湖商务核心区居住办公配套能力，满足新区石化产业、港航产业的发展需求</w:t>
            </w:r>
            <w:r>
              <w:rPr>
                <w:rFonts w:hint="eastAsia" w:ascii="宋体" w:hAnsi="宋体" w:eastAsia="宋体" w:cs="宋体"/>
                <w:sz w:val="24"/>
                <w:lang w:eastAsia="zh-CN"/>
              </w:rPr>
              <w:t>。</w:t>
            </w:r>
          </w:p>
        </w:tc>
        <w:tc>
          <w:tcPr>
            <w:tcW w:w="1852" w:type="dxa"/>
            <w:shd w:val="clear" w:color="auto" w:fill="auto"/>
            <w:vAlign w:val="center"/>
          </w:tcPr>
          <w:p w14:paraId="4DF62BF6">
            <w:pPr>
              <w:widowControl w:val="0"/>
              <w:numPr>
                <w:ilvl w:val="0"/>
                <w:numId w:val="3"/>
              </w:numPr>
              <w:snapToGrid w:val="0"/>
              <w:rPr>
                <w:rFonts w:hint="eastAsia" w:ascii="Times New Roman" w:hAnsi="Times New Roman"/>
                <w:snapToGrid w:val="0"/>
                <w:kern w:val="0"/>
                <w:sz w:val="24"/>
                <w:szCs w:val="21"/>
                <w:lang w:eastAsia="zh-CN"/>
              </w:rPr>
            </w:pPr>
            <w:r>
              <w:rPr>
                <w:rFonts w:hint="eastAsia" w:ascii="Times New Roman" w:hAnsi="Times New Roman"/>
                <w:snapToGrid w:val="0"/>
                <w:kern w:val="0"/>
                <w:sz w:val="24"/>
                <w:szCs w:val="21"/>
              </w:rPr>
              <w:t>本工程被评为2022年下半年江苏省建筑施工标准化星级工地</w:t>
            </w:r>
            <w:r>
              <w:rPr>
                <w:rFonts w:hint="eastAsia" w:ascii="Times New Roman" w:hAnsi="Times New Roman"/>
                <w:snapToGrid w:val="0"/>
                <w:kern w:val="0"/>
                <w:sz w:val="24"/>
                <w:szCs w:val="21"/>
                <w:lang w:eastAsia="zh-CN"/>
              </w:rPr>
              <w:t>；</w:t>
            </w:r>
          </w:p>
          <w:p w14:paraId="52071BFC">
            <w:pPr>
              <w:widowControl w:val="0"/>
              <w:numPr>
                <w:ilvl w:val="0"/>
                <w:numId w:val="0"/>
              </w:numPr>
              <w:snapToGrid w:val="0"/>
              <w:jc w:val="both"/>
              <w:rPr>
                <w:rFonts w:ascii="Times New Roman" w:hAnsi="Times New Roman"/>
                <w:snapToGrid w:val="0"/>
                <w:kern w:val="0"/>
                <w:sz w:val="24"/>
                <w:szCs w:val="21"/>
              </w:rPr>
            </w:pPr>
            <w:r>
              <w:rPr>
                <w:rFonts w:hint="eastAsia" w:ascii="Times New Roman" w:hAnsi="Times New Roman"/>
                <w:snapToGrid w:val="0"/>
                <w:kern w:val="0"/>
                <w:sz w:val="24"/>
                <w:szCs w:val="21"/>
                <w:lang w:val="en-US" w:eastAsia="zh-CN"/>
              </w:rPr>
              <w:t>2、</w:t>
            </w:r>
            <w:r>
              <w:rPr>
                <w:rFonts w:hint="eastAsia" w:ascii="Times New Roman" w:hAnsi="Times New Roman"/>
                <w:snapToGrid w:val="0"/>
                <w:kern w:val="0"/>
                <w:sz w:val="24"/>
                <w:szCs w:val="21"/>
              </w:rPr>
              <w:t>获得了2023年度</w:t>
            </w:r>
            <w:r>
              <w:rPr>
                <w:rFonts w:hint="eastAsia" w:ascii="Times New Roman" w:hAnsi="Times New Roman"/>
                <w:snapToGrid w:val="0"/>
                <w:kern w:val="0"/>
                <w:sz w:val="24"/>
                <w:szCs w:val="21"/>
                <w:lang w:val="en-US" w:eastAsia="zh-CN"/>
              </w:rPr>
              <w:t>江苏省</w:t>
            </w:r>
            <w:r>
              <w:rPr>
                <w:rFonts w:hint="eastAsia" w:ascii="Times New Roman" w:hAnsi="Times New Roman"/>
                <w:snapToGrid w:val="0"/>
                <w:kern w:val="0"/>
                <w:sz w:val="24"/>
                <w:szCs w:val="21"/>
              </w:rPr>
              <w:t>工程建设</w:t>
            </w:r>
            <w:r>
              <w:rPr>
                <w:rFonts w:hint="eastAsia" w:ascii="Times New Roman" w:hAnsi="Times New Roman"/>
                <w:snapToGrid w:val="0"/>
                <w:kern w:val="0"/>
                <w:sz w:val="24"/>
                <w:szCs w:val="21"/>
                <w:lang w:val="en-US" w:eastAsia="zh-CN"/>
              </w:rPr>
              <w:t>质量管理小组活动成果三类成果奖；</w:t>
            </w:r>
          </w:p>
          <w:p w14:paraId="364AE3DD">
            <w:pPr>
              <w:widowControl w:val="0"/>
              <w:rPr>
                <w:rFonts w:hint="default" w:ascii="Times New Roman" w:hAnsi="Times New Roman" w:eastAsia="宋体"/>
                <w:snapToGrid w:val="0"/>
                <w:kern w:val="0"/>
                <w:sz w:val="24"/>
                <w:szCs w:val="21"/>
                <w:lang w:val="en-US" w:eastAsia="zh-CN"/>
              </w:rPr>
            </w:pPr>
            <w:r>
              <w:rPr>
                <w:rFonts w:hint="eastAsia" w:ascii="Times New Roman" w:hAnsi="Times New Roman"/>
                <w:snapToGrid w:val="0"/>
                <w:kern w:val="0"/>
                <w:sz w:val="24"/>
                <w:szCs w:val="21"/>
                <w:lang w:val="en-US" w:eastAsia="zh-CN"/>
              </w:rPr>
              <w:t>3</w:t>
            </w:r>
            <w:r>
              <w:rPr>
                <w:rFonts w:hint="eastAsia" w:ascii="Times New Roman" w:hAnsi="Times New Roman"/>
                <w:snapToGrid w:val="0"/>
                <w:kern w:val="0"/>
                <w:sz w:val="24"/>
                <w:szCs w:val="21"/>
              </w:rPr>
              <w:t>、</w:t>
            </w:r>
            <w:r>
              <w:rPr>
                <w:rFonts w:hint="eastAsia" w:ascii="Times New Roman" w:hAnsi="Times New Roman"/>
                <w:snapToGrid w:val="0"/>
                <w:kern w:val="0"/>
                <w:sz w:val="24"/>
                <w:szCs w:val="21"/>
                <w:lang w:val="en-US" w:eastAsia="zh-CN"/>
              </w:rPr>
              <w:t>获得了连云港市2023年度“市优质结构工程”称号；</w:t>
            </w:r>
          </w:p>
          <w:p w14:paraId="0DC6B7F7">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z w:val="24"/>
                <w:szCs w:val="21"/>
                <w:lang w:val="en-US" w:eastAsia="zh-CN"/>
              </w:rPr>
              <w:t>4、项目</w:t>
            </w:r>
            <w:r>
              <w:rPr>
                <w:rFonts w:hint="eastAsia" w:ascii="Times New Roman" w:hAnsi="Times New Roman"/>
                <w:sz w:val="24"/>
                <w:szCs w:val="21"/>
              </w:rPr>
              <w:t>自交付使用</w:t>
            </w:r>
            <w:r>
              <w:rPr>
                <w:rFonts w:hint="eastAsia" w:ascii="Times New Roman" w:hAnsi="Times New Roman"/>
                <w:sz w:val="24"/>
                <w:szCs w:val="21"/>
                <w:lang w:val="en-US" w:eastAsia="zh-CN"/>
              </w:rPr>
              <w:t>各项功能和</w:t>
            </w:r>
            <w:r>
              <w:rPr>
                <w:rFonts w:hint="eastAsia" w:ascii="Times New Roman" w:hAnsi="Times New Roman"/>
                <w:sz w:val="24"/>
                <w:szCs w:val="21"/>
              </w:rPr>
              <w:t>系统运行</w:t>
            </w:r>
            <w:r>
              <w:rPr>
                <w:rFonts w:hint="eastAsia" w:ascii="Times New Roman" w:hAnsi="Times New Roman"/>
                <w:sz w:val="24"/>
                <w:szCs w:val="21"/>
                <w:lang w:val="en-US" w:eastAsia="zh-CN"/>
              </w:rPr>
              <w:t>正常，</w:t>
            </w:r>
            <w:r>
              <w:rPr>
                <w:rFonts w:hint="eastAsia" w:ascii="Times New Roman" w:hAnsi="Times New Roman"/>
                <w:sz w:val="24"/>
                <w:szCs w:val="21"/>
              </w:rPr>
              <w:t>获得建设、设计、监理和使用单位</w:t>
            </w:r>
            <w:r>
              <w:rPr>
                <w:rFonts w:hint="eastAsia" w:ascii="Times New Roman" w:hAnsi="Times New Roman"/>
                <w:sz w:val="24"/>
                <w:szCs w:val="21"/>
                <w:lang w:eastAsia="zh-CN"/>
              </w:rPr>
              <w:t>的</w:t>
            </w:r>
            <w:r>
              <w:rPr>
                <w:rFonts w:hint="eastAsia" w:ascii="Times New Roman" w:hAnsi="Times New Roman"/>
                <w:sz w:val="24"/>
                <w:szCs w:val="21"/>
              </w:rPr>
              <w:t>一致认可。</w:t>
            </w:r>
          </w:p>
        </w:tc>
        <w:tc>
          <w:tcPr>
            <w:tcW w:w="2127" w:type="dxa"/>
            <w:shd w:val="clear" w:color="auto" w:fill="auto"/>
            <w:vAlign w:val="center"/>
          </w:tcPr>
          <w:p w14:paraId="5365A81F">
            <w:pPr>
              <w:widowControl w:val="0"/>
              <w:jc w:val="center"/>
            </w:pPr>
            <w:r>
              <w:drawing>
                <wp:inline distT="0" distB="0" distL="114300" distR="114300">
                  <wp:extent cx="1217930" cy="930910"/>
                  <wp:effectExtent l="0" t="0" r="1270" b="254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4"/>
                          <a:stretch>
                            <a:fillRect/>
                          </a:stretch>
                        </pic:blipFill>
                        <pic:spPr>
                          <a:xfrm>
                            <a:off x="0" y="0"/>
                            <a:ext cx="1217930" cy="930910"/>
                          </a:xfrm>
                          <a:prstGeom prst="rect">
                            <a:avLst/>
                          </a:prstGeom>
                        </pic:spPr>
                      </pic:pic>
                    </a:graphicData>
                  </a:graphic>
                </wp:inline>
              </w:drawing>
            </w:r>
          </w:p>
          <w:p w14:paraId="3EA48948">
            <w:pPr>
              <w:widowControl w:val="0"/>
              <w:jc w:val="center"/>
              <w:rPr>
                <w:rFonts w:hint="eastAsia"/>
                <w:lang w:val="en-US" w:eastAsia="zh-CN"/>
              </w:rPr>
            </w:pPr>
            <w:r>
              <w:rPr>
                <w:rFonts w:hint="eastAsia"/>
                <w:lang w:val="en-US" w:eastAsia="zh-CN"/>
              </w:rPr>
              <w:t>图一</w:t>
            </w:r>
          </w:p>
          <w:p w14:paraId="7AABF6BA">
            <w:pPr>
              <w:widowControl w:val="0"/>
              <w:jc w:val="center"/>
              <w:rPr>
                <w:rFonts w:hint="eastAsia"/>
                <w:lang w:val="en-US" w:eastAsia="zh-CN"/>
              </w:rPr>
            </w:pPr>
            <w:r>
              <w:rPr>
                <w:rFonts w:hint="default" w:ascii="Times New Roman" w:hAnsi="Times New Roman"/>
                <w:kern w:val="0"/>
                <w:sz w:val="24"/>
                <w:lang w:val="en-US" w:eastAsia="zh-CN"/>
              </w:rPr>
              <w:drawing>
                <wp:inline distT="0" distB="0" distL="114300" distR="114300">
                  <wp:extent cx="1205865" cy="929005"/>
                  <wp:effectExtent l="0" t="0" r="13335" b="4445"/>
                  <wp:docPr id="36" name="图片 36" descr="微信图片_20260503161838_351_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60503161838_351_193"/>
                          <pic:cNvPicPr>
                            <a:picLocks noChangeAspect="1"/>
                          </pic:cNvPicPr>
                        </pic:nvPicPr>
                        <pic:blipFill>
                          <a:blip r:embed="rId35"/>
                          <a:stretch>
                            <a:fillRect/>
                          </a:stretch>
                        </pic:blipFill>
                        <pic:spPr>
                          <a:xfrm>
                            <a:off x="0" y="0"/>
                            <a:ext cx="1205865" cy="929005"/>
                          </a:xfrm>
                          <a:prstGeom prst="rect">
                            <a:avLst/>
                          </a:prstGeom>
                        </pic:spPr>
                      </pic:pic>
                    </a:graphicData>
                  </a:graphic>
                </wp:inline>
              </w:drawing>
            </w:r>
          </w:p>
          <w:p w14:paraId="6480D9F3">
            <w:pPr>
              <w:widowControl w:val="0"/>
              <w:jc w:val="center"/>
              <w:rPr>
                <w:rFonts w:hint="eastAsia" w:ascii="宋体" w:hAnsi="宋体" w:eastAsia="宋体" w:cs="宋体"/>
                <w:bCs/>
                <w:kern w:val="2"/>
                <w:sz w:val="21"/>
                <w:szCs w:val="24"/>
                <w:lang w:val="en-US" w:eastAsia="zh-CN" w:bidi="ar-SA"/>
              </w:rPr>
            </w:pPr>
            <w:r>
              <w:rPr>
                <w:rFonts w:hint="eastAsia"/>
                <w:lang w:val="en-US" w:eastAsia="zh-CN"/>
              </w:rPr>
              <w:t>图二</w:t>
            </w:r>
          </w:p>
        </w:tc>
        <w:tc>
          <w:tcPr>
            <w:tcW w:w="1897" w:type="dxa"/>
            <w:shd w:val="clear" w:color="auto" w:fill="auto"/>
            <w:vAlign w:val="center"/>
          </w:tcPr>
          <w:p w14:paraId="1A9948A3">
            <w:pPr>
              <w:widowControl w:val="0"/>
              <w:rPr>
                <w:rFonts w:ascii="Times New Roman" w:hAnsi="Times New Roman"/>
                <w:snapToGrid w:val="0"/>
                <w:kern w:val="0"/>
                <w:sz w:val="24"/>
              </w:rPr>
            </w:pPr>
            <w:r>
              <w:rPr>
                <w:rFonts w:hint="eastAsia" w:ascii="Times New Roman" w:hAnsi="Times New Roman"/>
                <w:sz w:val="24"/>
              </w:rPr>
              <w:t>图1：综合体集群幕墙工程，采用统一化竖向条带式单元幕墙系统，多栋主楼外立面形成规整连续的竖向肌理，浅灰色实体板材与玻璃幕墙交替排布，整体风格高度统一，塑造出极具规模感与现代感的商务建筑集群立面。</w:t>
            </w:r>
          </w:p>
          <w:p w14:paraId="5EF70767">
            <w:pPr>
              <w:widowControl w:val="0"/>
              <w:rPr>
                <w:rFonts w:hint="eastAsia" w:ascii="Times New Roman" w:hAnsi="Times New Roman"/>
                <w:sz w:val="24"/>
              </w:rPr>
            </w:pPr>
            <w:r>
              <w:rPr>
                <w:rFonts w:hint="eastAsia" w:ascii="Times New Roman" w:hAnsi="Times New Roman"/>
                <w:sz w:val="24"/>
              </w:rPr>
              <w:t>图2：中庭挑空区域，以格栅造型、艺术吊顶搭配绿植造景，空间层次丰富、光影雅致，营造兼具艺术感与休闲感的文创共享中庭氛围。</w:t>
            </w:r>
          </w:p>
          <w:p w14:paraId="7EEB4689">
            <w:pPr>
              <w:widowControl w:val="0"/>
              <w:rPr>
                <w:rFonts w:hint="eastAsia" w:ascii="Times New Roman" w:hAnsi="Times New Roman" w:eastAsia="宋体" w:cs="宋体"/>
                <w:bCs/>
                <w:kern w:val="0"/>
                <w:sz w:val="24"/>
                <w:szCs w:val="24"/>
                <w:lang w:val="en-US" w:eastAsia="zh-CN" w:bidi="ar-SA"/>
              </w:rPr>
            </w:pPr>
          </w:p>
        </w:tc>
      </w:tr>
      <w:tr w14:paraId="06DD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BE79A42">
            <w:pPr>
              <w:widowControl w:val="0"/>
              <w:rPr>
                <w:rFonts w:hint="default" w:ascii="Times New Roman" w:hAnsi="Times New Roman" w:eastAsia="宋体"/>
                <w:kern w:val="0"/>
                <w:sz w:val="24"/>
                <w:lang w:val="en-US" w:eastAsia="zh-CN"/>
              </w:rPr>
            </w:pPr>
            <w:r>
              <w:rPr>
                <w:rFonts w:hint="eastAsia" w:ascii="Times New Roman" w:hAnsi="Times New Roman"/>
                <w:kern w:val="0"/>
                <w:sz w:val="24"/>
                <w:lang w:val="en-US" w:eastAsia="zh-CN"/>
              </w:rPr>
              <w:t>15</w:t>
            </w:r>
          </w:p>
        </w:tc>
        <w:tc>
          <w:tcPr>
            <w:tcW w:w="1353" w:type="dxa"/>
            <w:shd w:val="clear" w:color="auto" w:fill="auto"/>
            <w:vAlign w:val="center"/>
          </w:tcPr>
          <w:p w14:paraId="7460517C">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中铁建工集团有限公司</w:t>
            </w:r>
          </w:p>
        </w:tc>
        <w:tc>
          <w:tcPr>
            <w:tcW w:w="1265" w:type="dxa"/>
            <w:shd w:val="clear" w:color="auto" w:fill="auto"/>
            <w:vAlign w:val="center"/>
          </w:tcPr>
          <w:p w14:paraId="6303078C">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连云港师范高等专科学校二期工程体育馆</w:t>
            </w:r>
          </w:p>
        </w:tc>
        <w:tc>
          <w:tcPr>
            <w:tcW w:w="2176" w:type="dxa"/>
            <w:shd w:val="clear" w:color="auto" w:fill="auto"/>
            <w:vAlign w:val="center"/>
          </w:tcPr>
          <w:p w14:paraId="5FFED5F0">
            <w:pPr>
              <w:widowControl w:val="0"/>
              <w:rPr>
                <w:rFonts w:hint="eastAsia" w:ascii="Times New Roman" w:hAnsi="Times New Roman" w:eastAsia="宋体" w:cs="宋体"/>
                <w:snapToGrid w:val="0"/>
                <w:kern w:val="0"/>
                <w:sz w:val="24"/>
                <w:lang w:val="en-US" w:eastAsia="zh-CN"/>
              </w:rPr>
            </w:pPr>
            <w:r>
              <w:rPr>
                <w:rFonts w:hint="eastAsia" w:ascii="Times New Roman" w:hAnsi="Times New Roman" w:eastAsia="宋体" w:cs="宋体"/>
                <w:snapToGrid w:val="0"/>
                <w:kern w:val="0"/>
                <w:sz w:val="24"/>
                <w:lang w:val="en-US" w:eastAsia="zh-CN"/>
              </w:rPr>
              <w:t>连云港师专学校体育馆总建筑面积11721.60m²，为框架结构，地上2层，内含篮球场、健身房、乒乓球室及各类功能用房。2022年7月21日开始施工，2023年06月30日完成竣工备案。</w:t>
            </w:r>
          </w:p>
        </w:tc>
        <w:tc>
          <w:tcPr>
            <w:tcW w:w="1133" w:type="dxa"/>
            <w:shd w:val="clear" w:color="auto" w:fill="auto"/>
            <w:vAlign w:val="center"/>
          </w:tcPr>
          <w:p w14:paraId="511C7B5E">
            <w:pPr>
              <w:widowControl w:val="0"/>
              <w:rPr>
                <w:rFonts w:hint="eastAsia" w:ascii="Times New Roman" w:hAnsi="Times New Roman" w:eastAsia="宋体" w:cs="宋体"/>
                <w:snapToGrid w:val="0"/>
                <w:kern w:val="0"/>
                <w:sz w:val="24"/>
                <w:lang w:val="en-US" w:eastAsia="zh-CN"/>
              </w:rPr>
            </w:pPr>
            <w:r>
              <w:rPr>
                <w:rFonts w:hint="eastAsia" w:ascii="Times New Roman" w:hAnsi="Times New Roman" w:eastAsia="宋体" w:cs="宋体"/>
                <w:snapToGrid w:val="0"/>
                <w:kern w:val="0"/>
                <w:sz w:val="24"/>
                <w:lang w:val="en-US" w:eastAsia="zh-CN"/>
              </w:rPr>
              <w:t>2023年6月30日</w:t>
            </w:r>
          </w:p>
        </w:tc>
        <w:tc>
          <w:tcPr>
            <w:tcW w:w="1691" w:type="dxa"/>
            <w:shd w:val="clear" w:color="auto" w:fill="auto"/>
            <w:vAlign w:val="center"/>
          </w:tcPr>
          <w:p w14:paraId="1AEF98C7">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1、主场馆采用大跨度钢结构雨棚</w:t>
            </w:r>
          </w:p>
          <w:p w14:paraId="2F62ED4F">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2、地板采用CBA级别地板，适用于省级以上规模活动</w:t>
            </w:r>
          </w:p>
          <w:p w14:paraId="53AA4374">
            <w:pPr>
              <w:widowControl w:val="0"/>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3、体育馆采用玻璃幕墙作为外立面</w:t>
            </w:r>
          </w:p>
        </w:tc>
        <w:tc>
          <w:tcPr>
            <w:tcW w:w="1852" w:type="dxa"/>
            <w:shd w:val="clear" w:color="auto" w:fill="auto"/>
            <w:vAlign w:val="center"/>
          </w:tcPr>
          <w:p w14:paraId="078F80F4">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1、成功完成师专学校专升本任务</w:t>
            </w:r>
          </w:p>
          <w:p w14:paraId="078CFD3E">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2、成功举办数次比赛活动</w:t>
            </w:r>
          </w:p>
          <w:p w14:paraId="46C19B05">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3、给在校学生提供优质的体育活动场所</w:t>
            </w:r>
          </w:p>
        </w:tc>
        <w:tc>
          <w:tcPr>
            <w:tcW w:w="2127" w:type="dxa"/>
            <w:shd w:val="clear" w:color="auto" w:fill="auto"/>
            <w:vAlign w:val="center"/>
          </w:tcPr>
          <w:p w14:paraId="2B164775">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rPr>
              <w:drawing>
                <wp:inline distT="0" distB="0" distL="114300" distR="114300">
                  <wp:extent cx="1204595" cy="902970"/>
                  <wp:effectExtent l="0" t="0" r="14605" b="11430"/>
                  <wp:docPr id="28" name="图片 28" descr="927e7d0a00ef589ce066ceb33f2a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27e7d0a00ef589ce066ceb33f2a0604"/>
                          <pic:cNvPicPr>
                            <a:picLocks noChangeAspect="1"/>
                          </pic:cNvPicPr>
                        </pic:nvPicPr>
                        <pic:blipFill>
                          <a:blip r:embed="rId36"/>
                          <a:stretch>
                            <a:fillRect/>
                          </a:stretch>
                        </pic:blipFill>
                        <pic:spPr>
                          <a:xfrm>
                            <a:off x="0" y="0"/>
                            <a:ext cx="1204595" cy="902970"/>
                          </a:xfrm>
                          <a:prstGeom prst="rect">
                            <a:avLst/>
                          </a:prstGeom>
                        </pic:spPr>
                      </pic:pic>
                    </a:graphicData>
                  </a:graphic>
                </wp:inline>
              </w:drawing>
            </w:r>
            <w:r>
              <w:rPr>
                <w:rFonts w:hint="eastAsia" w:ascii="Times New Roman" w:hAnsi="Times New Roman" w:eastAsia="宋体"/>
                <w:kern w:val="0"/>
                <w:sz w:val="24"/>
                <w:lang w:eastAsia="zh-CN"/>
              </w:rPr>
              <w:drawing>
                <wp:inline distT="0" distB="0" distL="114300" distR="114300">
                  <wp:extent cx="1160780" cy="870585"/>
                  <wp:effectExtent l="0" t="0" r="1270" b="5715"/>
                  <wp:docPr id="29" name="图片 29" descr="9291911a5241c6896102280e1169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291911a5241c6896102280e11690396"/>
                          <pic:cNvPicPr>
                            <a:picLocks noChangeAspect="1"/>
                          </pic:cNvPicPr>
                        </pic:nvPicPr>
                        <pic:blipFill>
                          <a:blip r:embed="rId37"/>
                          <a:stretch>
                            <a:fillRect/>
                          </a:stretch>
                        </pic:blipFill>
                        <pic:spPr>
                          <a:xfrm>
                            <a:off x="0" y="0"/>
                            <a:ext cx="1160780" cy="870585"/>
                          </a:xfrm>
                          <a:prstGeom prst="rect">
                            <a:avLst/>
                          </a:prstGeom>
                        </pic:spPr>
                      </pic:pic>
                    </a:graphicData>
                  </a:graphic>
                </wp:inline>
              </w:drawing>
            </w:r>
          </w:p>
        </w:tc>
        <w:tc>
          <w:tcPr>
            <w:tcW w:w="1897" w:type="dxa"/>
            <w:shd w:val="clear" w:color="auto" w:fill="auto"/>
            <w:vAlign w:val="center"/>
          </w:tcPr>
          <w:p w14:paraId="0EED8AB2">
            <w:pPr>
              <w:widowControl w:val="0"/>
              <w:rPr>
                <w:rFonts w:hint="default" w:ascii="Times New Roman" w:hAnsi="Times New Roman" w:eastAsia="宋体"/>
                <w:snapToGrid w:val="0"/>
                <w:kern w:val="0"/>
                <w:sz w:val="24"/>
                <w:lang w:val="en-US" w:eastAsia="zh-CN"/>
              </w:rPr>
            </w:pPr>
            <w:r>
              <w:rPr>
                <w:rFonts w:hint="eastAsia" w:ascii="Times New Roman" w:hAnsi="Times New Roman"/>
                <w:sz w:val="24"/>
              </w:rPr>
              <w:t>图1：</w:t>
            </w:r>
            <w:r>
              <w:rPr>
                <w:rFonts w:hint="eastAsia" w:ascii="Times New Roman" w:hAnsi="Times New Roman"/>
                <w:sz w:val="24"/>
                <w:lang w:val="en-US" w:eastAsia="zh-CN"/>
              </w:rPr>
              <w:t>体育馆场馆北入口</w:t>
            </w:r>
          </w:p>
          <w:p w14:paraId="49FAAA8D">
            <w:pPr>
              <w:widowControl w:val="0"/>
              <w:jc w:val="both"/>
              <w:rPr>
                <w:rFonts w:ascii="Times New Roman" w:hAnsi="Times New Roman"/>
                <w:snapToGrid w:val="0"/>
                <w:kern w:val="0"/>
                <w:sz w:val="24"/>
              </w:rPr>
            </w:pPr>
          </w:p>
          <w:p w14:paraId="54BF4256">
            <w:pPr>
              <w:widowControl w:val="0"/>
              <w:jc w:val="both"/>
              <w:rPr>
                <w:rFonts w:ascii="Times New Roman" w:hAnsi="Times New Roman"/>
                <w:snapToGrid w:val="0"/>
                <w:kern w:val="0"/>
                <w:sz w:val="24"/>
              </w:rPr>
            </w:pPr>
          </w:p>
          <w:p w14:paraId="00F26598">
            <w:pPr>
              <w:widowControl w:val="0"/>
              <w:rPr>
                <w:rFonts w:hint="default" w:ascii="Times New Roman" w:hAnsi="Times New Roman" w:eastAsia="宋体"/>
                <w:sz w:val="24"/>
                <w:lang w:val="en-US" w:eastAsia="zh-CN"/>
              </w:rPr>
            </w:pPr>
            <w:r>
              <w:rPr>
                <w:rFonts w:hint="eastAsia" w:ascii="Times New Roman" w:hAnsi="Times New Roman"/>
                <w:sz w:val="24"/>
              </w:rPr>
              <w:t>图2：</w:t>
            </w:r>
            <w:r>
              <w:rPr>
                <w:rFonts w:hint="eastAsia" w:ascii="Times New Roman" w:hAnsi="Times New Roman"/>
                <w:sz w:val="24"/>
                <w:lang w:val="en-US" w:eastAsia="zh-CN"/>
              </w:rPr>
              <w:t>体育馆主场馆篮球场，可容纳3000人同时观看比赛</w:t>
            </w:r>
          </w:p>
          <w:p w14:paraId="7E136B0A">
            <w:pPr>
              <w:widowControl w:val="0"/>
              <w:rPr>
                <w:rFonts w:hint="eastAsia" w:ascii="Times New Roman" w:hAnsi="Times New Roman" w:eastAsia="宋体" w:cs="宋体"/>
                <w:bCs/>
                <w:kern w:val="0"/>
                <w:sz w:val="24"/>
                <w:szCs w:val="24"/>
                <w:lang w:val="en-US" w:eastAsia="zh-CN" w:bidi="ar-SA"/>
              </w:rPr>
            </w:pPr>
          </w:p>
        </w:tc>
      </w:tr>
      <w:tr w14:paraId="5A98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C6ADBDE">
            <w:pPr>
              <w:widowControl w:val="0"/>
              <w:rPr>
                <w:rFonts w:hint="default" w:ascii="Times New Roman" w:hAnsi="Times New Roman" w:eastAsia="宋体"/>
                <w:kern w:val="0"/>
                <w:sz w:val="24"/>
                <w:lang w:val="en-US" w:eastAsia="zh-CN"/>
              </w:rPr>
            </w:pPr>
            <w:r>
              <w:rPr>
                <w:rFonts w:hint="eastAsia" w:ascii="Times New Roman" w:hAnsi="Times New Roman"/>
                <w:kern w:val="0"/>
                <w:sz w:val="24"/>
                <w:lang w:val="en-US" w:eastAsia="zh-CN"/>
              </w:rPr>
              <w:t>16</w:t>
            </w:r>
          </w:p>
        </w:tc>
        <w:tc>
          <w:tcPr>
            <w:tcW w:w="1353" w:type="dxa"/>
            <w:shd w:val="clear" w:color="auto" w:fill="auto"/>
            <w:vAlign w:val="center"/>
          </w:tcPr>
          <w:p w14:paraId="603D9E29">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连云港市锐城建设工程有限公司</w:t>
            </w:r>
          </w:p>
        </w:tc>
        <w:tc>
          <w:tcPr>
            <w:tcW w:w="1265" w:type="dxa"/>
            <w:shd w:val="clear" w:color="auto" w:fill="auto"/>
            <w:vAlign w:val="center"/>
          </w:tcPr>
          <w:p w14:paraId="0F4B6C96">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连云港市青少年体育发展中心项目（EPC）-2#体育训练馆</w:t>
            </w:r>
          </w:p>
        </w:tc>
        <w:tc>
          <w:tcPr>
            <w:tcW w:w="2176" w:type="dxa"/>
            <w:shd w:val="clear" w:color="auto" w:fill="auto"/>
            <w:vAlign w:val="center"/>
          </w:tcPr>
          <w:p w14:paraId="24ADA5C8">
            <w:pPr>
              <w:widowControl w:val="0"/>
              <w:jc w:val="left"/>
              <w:rPr>
                <w:rFonts w:hint="eastAsia" w:ascii="Times New Roman" w:hAnsi="Times New Roman" w:eastAsia="宋体" w:cs="宋体"/>
                <w:bCs/>
                <w:iCs/>
                <w:kern w:val="2"/>
                <w:sz w:val="24"/>
                <w:szCs w:val="24"/>
                <w:lang w:val="en-US" w:eastAsia="zh-CN" w:bidi="ar-SA"/>
              </w:rPr>
            </w:pPr>
            <w:r>
              <w:rPr>
                <w:rFonts w:hint="eastAsia" w:ascii="Times New Roman" w:hAnsi="Times New Roman" w:eastAsia="宋体" w:cs="宋体"/>
                <w:snapToGrid w:val="0"/>
                <w:kern w:val="0"/>
                <w:sz w:val="24"/>
                <w:lang w:val="en-US" w:eastAsia="zh-CN"/>
              </w:rPr>
              <w:t>连云港市青少年体育发展中心项目位于花果山大道与科苑北路交叉口，是省运会配套的综合性房屋建筑工程，本项目总建筑面积44101.35㎡，总投资2.5亿元。申报工程2#楼为体育训练馆，建筑面积10525.67㎡，造价</w:t>
            </w:r>
            <w:r>
              <w:rPr>
                <w:rFonts w:hint="eastAsia" w:ascii="Arial" w:hAnsi="Arial" w:eastAsia="宋体" w:cs="Arial"/>
                <w:snapToGrid w:val="0"/>
                <w:color w:val="000000"/>
                <w:kern w:val="0"/>
                <w:sz w:val="21"/>
                <w:szCs w:val="21"/>
                <w:lang w:val="en-US" w:eastAsia="zh-CN" w:bidi="ar-SA"/>
              </w:rPr>
              <w:t>4451.78万元</w:t>
            </w:r>
            <w:r>
              <w:rPr>
                <w:rFonts w:hint="eastAsia" w:ascii="Arial" w:hAnsi="Arial" w:cs="Arial"/>
                <w:snapToGrid w:val="0"/>
                <w:color w:val="000000"/>
                <w:kern w:val="0"/>
                <w:sz w:val="21"/>
                <w:szCs w:val="21"/>
                <w:lang w:val="en-US" w:eastAsia="zh-CN" w:bidi="ar-SA"/>
              </w:rPr>
              <w:t>，</w:t>
            </w:r>
            <w:r>
              <w:rPr>
                <w:rFonts w:hint="eastAsia" w:ascii="Times New Roman" w:hAnsi="Times New Roman" w:eastAsia="宋体" w:cs="宋体"/>
                <w:snapToGrid w:val="0"/>
                <w:kern w:val="0"/>
                <w:sz w:val="24"/>
                <w:lang w:val="en-US" w:eastAsia="zh-CN"/>
              </w:rPr>
              <w:t>地上5层，建筑高度38.8m。</w:t>
            </w:r>
          </w:p>
        </w:tc>
        <w:tc>
          <w:tcPr>
            <w:tcW w:w="1133" w:type="dxa"/>
            <w:shd w:val="clear" w:color="auto" w:fill="auto"/>
            <w:vAlign w:val="center"/>
          </w:tcPr>
          <w:p w14:paraId="5251BF4C">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kern w:val="0"/>
                <w:sz w:val="24"/>
                <w:lang w:val="en-US" w:eastAsia="zh-CN"/>
              </w:rPr>
              <w:t>2024年12月30日</w:t>
            </w:r>
          </w:p>
        </w:tc>
        <w:tc>
          <w:tcPr>
            <w:tcW w:w="1691" w:type="dxa"/>
            <w:shd w:val="clear" w:color="auto" w:fill="auto"/>
            <w:vAlign w:val="center"/>
          </w:tcPr>
          <w:p w14:paraId="431CDCC7">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1、外型新颖；</w:t>
            </w:r>
          </w:p>
          <w:p w14:paraId="67A58943">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2、结构复杂、施工难度大；</w:t>
            </w:r>
          </w:p>
          <w:p w14:paraId="462CFA3E">
            <w:pPr>
              <w:widowControl w:val="0"/>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3、大型综合性公建工程；</w:t>
            </w:r>
          </w:p>
        </w:tc>
        <w:tc>
          <w:tcPr>
            <w:tcW w:w="1852" w:type="dxa"/>
            <w:shd w:val="clear" w:color="auto" w:fill="auto"/>
            <w:vAlign w:val="center"/>
          </w:tcPr>
          <w:p w14:paraId="7EB024B5">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1、交付体育运动学校使用，培养连云港市体育运动健儿；</w:t>
            </w:r>
          </w:p>
          <w:p w14:paraId="4FD8A4ED">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2、省运会配套项目，为省运会举办提供办公场所及相关配套服务；</w:t>
            </w:r>
          </w:p>
          <w:p w14:paraId="0E5B8C43">
            <w:pPr>
              <w:widowControl w:val="0"/>
              <w:rPr>
                <w:rFonts w:hint="eastAsia" w:ascii="Times New Roman" w:hAnsi="Times New Roman" w:eastAsia="宋体" w:cs="宋体"/>
                <w:bCs/>
                <w:kern w:val="0"/>
                <w:sz w:val="24"/>
                <w:szCs w:val="24"/>
                <w:lang w:val="en-US" w:eastAsia="zh-CN" w:bidi="ar-SA"/>
              </w:rPr>
            </w:pPr>
            <w:r>
              <w:rPr>
                <w:rFonts w:hint="eastAsia" w:ascii="Times New Roman" w:hAnsi="Times New Roman"/>
                <w:snapToGrid w:val="0"/>
                <w:kern w:val="0"/>
                <w:sz w:val="24"/>
                <w:lang w:val="en-US" w:eastAsia="zh-CN"/>
              </w:rPr>
              <w:t>3、重点民生实事工程。</w:t>
            </w:r>
          </w:p>
        </w:tc>
        <w:tc>
          <w:tcPr>
            <w:tcW w:w="2127" w:type="dxa"/>
            <w:shd w:val="clear" w:color="auto" w:fill="auto"/>
            <w:vAlign w:val="center"/>
          </w:tcPr>
          <w:p w14:paraId="445EB3C9">
            <w:pPr>
              <w:widowControl w:val="0"/>
              <w:rPr>
                <w:rFonts w:hint="eastAsia" w:ascii="Times New Roman" w:hAnsi="Times New Roman" w:eastAsia="宋体"/>
                <w:kern w:val="0"/>
                <w:sz w:val="24"/>
                <w:lang w:eastAsia="zh-CN"/>
              </w:rPr>
            </w:pPr>
            <w:r>
              <w:rPr>
                <w:rFonts w:hint="eastAsia" w:ascii="Times New Roman" w:hAnsi="Times New Roman" w:eastAsia="宋体"/>
                <w:kern w:val="0"/>
                <w:sz w:val="24"/>
                <w:lang w:eastAsia="zh-CN"/>
              </w:rPr>
              <w:drawing>
                <wp:inline distT="0" distB="0" distL="114300" distR="114300">
                  <wp:extent cx="1202690" cy="901700"/>
                  <wp:effectExtent l="0" t="0" r="16510" b="12700"/>
                  <wp:docPr id="30" name="图片 30" descr="西立面夜间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西立面夜间效果"/>
                          <pic:cNvPicPr>
                            <a:picLocks noChangeAspect="1"/>
                          </pic:cNvPicPr>
                        </pic:nvPicPr>
                        <pic:blipFill>
                          <a:blip r:embed="rId38"/>
                          <a:stretch>
                            <a:fillRect/>
                          </a:stretch>
                        </pic:blipFill>
                        <pic:spPr>
                          <a:xfrm>
                            <a:off x="0" y="0"/>
                            <a:ext cx="1202690" cy="901700"/>
                          </a:xfrm>
                          <a:prstGeom prst="rect">
                            <a:avLst/>
                          </a:prstGeom>
                        </pic:spPr>
                      </pic:pic>
                    </a:graphicData>
                  </a:graphic>
                </wp:inline>
              </w:drawing>
            </w:r>
          </w:p>
          <w:p w14:paraId="34105250">
            <w:pPr>
              <w:widowControl w:val="0"/>
              <w:rPr>
                <w:rFonts w:hint="eastAsia" w:ascii="Times New Roman" w:hAnsi="Times New Roman" w:eastAsia="宋体"/>
                <w:kern w:val="0"/>
                <w:sz w:val="24"/>
                <w:lang w:eastAsia="zh-CN"/>
              </w:rPr>
            </w:pPr>
          </w:p>
          <w:p w14:paraId="36CC3C01">
            <w:pPr>
              <w:widowControl w:val="0"/>
              <w:jc w:val="both"/>
              <w:rPr>
                <w:rFonts w:hint="eastAsia" w:ascii="Times New Roman" w:hAnsi="Times New Roman" w:eastAsia="宋体" w:cs="宋体"/>
                <w:bCs/>
                <w:kern w:val="0"/>
                <w:sz w:val="24"/>
                <w:szCs w:val="24"/>
                <w:lang w:val="en-US" w:eastAsia="zh-CN" w:bidi="ar-SA"/>
              </w:rPr>
            </w:pPr>
            <w:r>
              <w:rPr>
                <w:rFonts w:hint="eastAsia" w:ascii="Times New Roman" w:hAnsi="Times New Roman" w:eastAsia="宋体"/>
                <w:kern w:val="0"/>
                <w:sz w:val="24"/>
                <w:lang w:eastAsia="zh-CN"/>
              </w:rPr>
              <w:drawing>
                <wp:inline distT="0" distB="0" distL="114300" distR="114300">
                  <wp:extent cx="1202690" cy="901700"/>
                  <wp:effectExtent l="0" t="0" r="16510" b="12700"/>
                  <wp:docPr id="31" name="图片 31" descr="三层训练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三层训练馆"/>
                          <pic:cNvPicPr>
                            <a:picLocks noChangeAspect="1"/>
                          </pic:cNvPicPr>
                        </pic:nvPicPr>
                        <pic:blipFill>
                          <a:blip r:embed="rId39"/>
                          <a:stretch>
                            <a:fillRect/>
                          </a:stretch>
                        </pic:blipFill>
                        <pic:spPr>
                          <a:xfrm>
                            <a:off x="0" y="0"/>
                            <a:ext cx="1202690" cy="901700"/>
                          </a:xfrm>
                          <a:prstGeom prst="rect">
                            <a:avLst/>
                          </a:prstGeom>
                        </pic:spPr>
                      </pic:pic>
                    </a:graphicData>
                  </a:graphic>
                </wp:inline>
              </w:drawing>
            </w:r>
          </w:p>
        </w:tc>
        <w:tc>
          <w:tcPr>
            <w:tcW w:w="1897" w:type="dxa"/>
            <w:shd w:val="clear" w:color="auto" w:fill="auto"/>
            <w:vAlign w:val="center"/>
          </w:tcPr>
          <w:p w14:paraId="171036DE">
            <w:pPr>
              <w:widowControl w:val="0"/>
              <w:rPr>
                <w:rFonts w:hint="default" w:ascii="Times New Roman" w:hAnsi="Times New Roman" w:eastAsia="宋体"/>
                <w:snapToGrid w:val="0"/>
                <w:kern w:val="0"/>
                <w:sz w:val="24"/>
                <w:lang w:val="en-US" w:eastAsia="zh-CN"/>
              </w:rPr>
            </w:pPr>
            <w:r>
              <w:rPr>
                <w:rFonts w:hint="eastAsia" w:ascii="Times New Roman" w:hAnsi="Times New Roman"/>
                <w:sz w:val="24"/>
              </w:rPr>
              <w:t>图1：</w:t>
            </w:r>
            <w:r>
              <w:rPr>
                <w:rFonts w:hint="eastAsia" w:ascii="Times New Roman" w:hAnsi="Times New Roman"/>
                <w:sz w:val="24"/>
                <w:lang w:val="en-US" w:eastAsia="zh-CN"/>
              </w:rPr>
              <w:t>外幕墙效果图</w:t>
            </w:r>
          </w:p>
          <w:p w14:paraId="28A779A9">
            <w:pPr>
              <w:widowControl w:val="0"/>
              <w:jc w:val="both"/>
              <w:rPr>
                <w:rFonts w:ascii="Times New Roman" w:hAnsi="Times New Roman"/>
                <w:snapToGrid w:val="0"/>
                <w:kern w:val="0"/>
                <w:sz w:val="24"/>
              </w:rPr>
            </w:pPr>
          </w:p>
          <w:p w14:paraId="7E8EFEF1">
            <w:pPr>
              <w:widowControl w:val="0"/>
              <w:jc w:val="both"/>
              <w:rPr>
                <w:rFonts w:ascii="Times New Roman" w:hAnsi="Times New Roman"/>
                <w:snapToGrid w:val="0"/>
                <w:kern w:val="0"/>
                <w:sz w:val="24"/>
              </w:rPr>
            </w:pPr>
          </w:p>
          <w:p w14:paraId="3F08B249">
            <w:pPr>
              <w:widowControl w:val="0"/>
              <w:rPr>
                <w:rFonts w:hint="default" w:ascii="Times New Roman" w:hAnsi="Times New Roman" w:eastAsia="宋体"/>
                <w:sz w:val="24"/>
                <w:lang w:val="en-US" w:eastAsia="zh-CN"/>
              </w:rPr>
            </w:pPr>
            <w:r>
              <w:rPr>
                <w:rFonts w:hint="eastAsia" w:ascii="Times New Roman" w:hAnsi="Times New Roman"/>
                <w:sz w:val="24"/>
              </w:rPr>
              <w:t>图2：</w:t>
            </w:r>
            <w:r>
              <w:rPr>
                <w:rFonts w:hint="eastAsia" w:ascii="Times New Roman" w:hAnsi="Times New Roman"/>
                <w:sz w:val="24"/>
                <w:lang w:val="en-US" w:eastAsia="zh-CN"/>
              </w:rPr>
              <w:t>三层室内训练馆</w:t>
            </w:r>
          </w:p>
          <w:p w14:paraId="5C2DAC53">
            <w:pPr>
              <w:widowControl w:val="0"/>
              <w:rPr>
                <w:rFonts w:hint="eastAsia" w:ascii="Times New Roman" w:hAnsi="Times New Roman" w:eastAsia="宋体" w:cs="宋体"/>
                <w:bCs/>
                <w:kern w:val="0"/>
                <w:sz w:val="24"/>
                <w:szCs w:val="24"/>
                <w:lang w:val="en-US" w:eastAsia="zh-CN" w:bidi="ar-SA"/>
              </w:rPr>
            </w:pPr>
          </w:p>
        </w:tc>
      </w:tr>
      <w:tr w14:paraId="728F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817" w:type="dxa"/>
            <w:vAlign w:val="center"/>
          </w:tcPr>
          <w:p w14:paraId="60F6B806">
            <w:pPr>
              <w:widowControl w:val="0"/>
              <w:rPr>
                <w:rFonts w:hint="eastAsia" w:ascii="Times New Roman" w:hAnsi="Times New Roman" w:eastAsia="宋体"/>
                <w:kern w:val="0"/>
                <w:sz w:val="24"/>
                <w:lang w:val="en-US" w:eastAsia="zh-CN"/>
              </w:rPr>
            </w:pPr>
            <w:r>
              <w:rPr>
                <w:rFonts w:hint="eastAsia" w:ascii="Times New Roman" w:hAnsi="Times New Roman"/>
                <w:kern w:val="0"/>
                <w:sz w:val="24"/>
              </w:rPr>
              <w:t>1</w:t>
            </w:r>
            <w:r>
              <w:rPr>
                <w:rFonts w:hint="eastAsia" w:ascii="Times New Roman" w:hAnsi="Times New Roman"/>
                <w:kern w:val="0"/>
                <w:sz w:val="24"/>
                <w:lang w:val="en-US" w:eastAsia="zh-CN"/>
              </w:rPr>
              <w:t>7</w:t>
            </w:r>
          </w:p>
        </w:tc>
        <w:tc>
          <w:tcPr>
            <w:tcW w:w="1353" w:type="dxa"/>
            <w:shd w:val="clear" w:color="auto" w:fill="auto"/>
            <w:vAlign w:val="center"/>
          </w:tcPr>
          <w:p w14:paraId="73FEB144">
            <w:pPr>
              <w:widowControl w:val="0"/>
              <w:rPr>
                <w:rFonts w:hint="default"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中冶天工集团有限公司</w:t>
            </w:r>
          </w:p>
        </w:tc>
        <w:tc>
          <w:tcPr>
            <w:tcW w:w="1265" w:type="dxa"/>
            <w:shd w:val="clear" w:color="auto" w:fill="auto"/>
            <w:vAlign w:val="center"/>
          </w:tcPr>
          <w:p w14:paraId="0CE37DE9">
            <w:pPr>
              <w:widowControl w:val="0"/>
              <w:rPr>
                <w:rFonts w:hint="default"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异地新建连云港市疾病预防控制中心（公共卫生中心二期）项目-实验楼</w:t>
            </w:r>
          </w:p>
        </w:tc>
        <w:tc>
          <w:tcPr>
            <w:tcW w:w="2176" w:type="dxa"/>
            <w:shd w:val="clear" w:color="auto" w:fill="auto"/>
            <w:vAlign w:val="center"/>
          </w:tcPr>
          <w:p w14:paraId="0E61FF08">
            <w:pPr>
              <w:widowControl w:val="0"/>
              <w:rPr>
                <w:rFonts w:hint="eastAsia" w:ascii="Times New Roman" w:hAnsi="Times New Roman" w:eastAsia="宋体" w:cs="宋体"/>
                <w:bCs/>
                <w:snapToGrid w:val="0"/>
                <w:kern w:val="0"/>
                <w:sz w:val="24"/>
                <w:szCs w:val="24"/>
                <w:lang w:val="en-US" w:eastAsia="zh-CN" w:bidi="ar-SA"/>
              </w:rPr>
            </w:pPr>
            <w:bookmarkStart w:id="0" w:name="_GoBack"/>
            <w:r>
              <w:rPr>
                <w:rFonts w:hint="eastAsia" w:ascii="Times New Roman" w:hAnsi="Times New Roman"/>
                <w:snapToGrid w:val="0"/>
                <w:kern w:val="0"/>
                <w:sz w:val="24"/>
                <w:lang w:val="en-US" w:eastAsia="zh-CN"/>
              </w:rPr>
              <w:t>实验楼地上3/4层，层高4.8米，建筑面积12093.22平方米，高度为22.5/17</w:t>
            </w:r>
            <w:bookmarkEnd w:id="0"/>
            <w:r>
              <w:rPr>
                <w:rFonts w:hint="eastAsia" w:ascii="Times New Roman" w:hAnsi="Times New Roman"/>
                <w:snapToGrid w:val="0"/>
                <w:kern w:val="0"/>
                <w:sz w:val="24"/>
                <w:lang w:val="en-US" w:eastAsia="zh-CN"/>
              </w:rPr>
              <w:t>.7米。</w:t>
            </w:r>
          </w:p>
        </w:tc>
        <w:tc>
          <w:tcPr>
            <w:tcW w:w="1133" w:type="dxa"/>
            <w:shd w:val="clear" w:color="auto" w:fill="auto"/>
            <w:vAlign w:val="center"/>
          </w:tcPr>
          <w:p w14:paraId="60818FE6">
            <w:pPr>
              <w:widowControl w:val="0"/>
              <w:rPr>
                <w:rFonts w:hint="eastAsia"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2023年10月19日</w:t>
            </w:r>
          </w:p>
        </w:tc>
        <w:tc>
          <w:tcPr>
            <w:tcW w:w="1691" w:type="dxa"/>
            <w:shd w:val="clear" w:color="auto" w:fill="auto"/>
            <w:vAlign w:val="center"/>
          </w:tcPr>
          <w:p w14:paraId="6023179B">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1、针对性破解施工难点</w:t>
            </w:r>
          </w:p>
          <w:p w14:paraId="3AF6D478">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2、BIM技术全流程赋能</w:t>
            </w:r>
          </w:p>
          <w:p w14:paraId="28AFBDD2">
            <w:pPr>
              <w:widowControl w:val="0"/>
              <w:rPr>
                <w:rFonts w:hint="default"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3、新工艺应用</w:t>
            </w:r>
          </w:p>
        </w:tc>
        <w:tc>
          <w:tcPr>
            <w:tcW w:w="1852" w:type="dxa"/>
            <w:shd w:val="clear" w:color="auto" w:fill="auto"/>
            <w:vAlign w:val="center"/>
          </w:tcPr>
          <w:p w14:paraId="509D6569">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1、荣获“市优质结构工程”称号</w:t>
            </w:r>
          </w:p>
          <w:p w14:paraId="5E2331F2">
            <w:pPr>
              <w:widowControl w:val="0"/>
              <w:rPr>
                <w:rFonts w:hint="default" w:ascii="Times New Roman" w:hAnsi="Times New Roman"/>
                <w:snapToGrid w:val="0"/>
                <w:kern w:val="0"/>
                <w:sz w:val="24"/>
                <w:lang w:val="en-US" w:eastAsia="zh-CN"/>
              </w:rPr>
            </w:pPr>
            <w:r>
              <w:rPr>
                <w:rFonts w:hint="eastAsia" w:ascii="Times New Roman" w:hAnsi="Times New Roman"/>
                <w:snapToGrid w:val="0"/>
                <w:kern w:val="0"/>
                <w:sz w:val="24"/>
                <w:lang w:val="en-US" w:eastAsia="zh-CN"/>
              </w:rPr>
              <w:t>2、冶金行业部级工法证书</w:t>
            </w:r>
          </w:p>
          <w:p w14:paraId="374CC472">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3、实用新型专利证书</w:t>
            </w:r>
          </w:p>
          <w:p w14:paraId="1E14DA91">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4、2023年度天津市建设工程优秀BIM技术应用Ⅱ类成果</w:t>
            </w:r>
          </w:p>
          <w:p w14:paraId="52838877">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5、2023年第五届冶金建设行业BIM大赛三等奖</w:t>
            </w:r>
          </w:p>
          <w:p w14:paraId="2828A80A">
            <w:pPr>
              <w:widowControl w:val="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6、2023年度全国冶金建设行业QC成果二等奖</w:t>
            </w:r>
          </w:p>
          <w:p w14:paraId="6F7F6F8C">
            <w:pPr>
              <w:widowControl w:val="0"/>
              <w:rPr>
                <w:rFonts w:hint="default" w:ascii="Times New Roman" w:hAnsi="Times New Roman" w:eastAsia="宋体" w:cs="宋体"/>
                <w:bCs/>
                <w:snapToGrid w:val="0"/>
                <w:kern w:val="0"/>
                <w:sz w:val="24"/>
                <w:szCs w:val="24"/>
                <w:lang w:val="en-US" w:eastAsia="zh-CN" w:bidi="ar-SA"/>
              </w:rPr>
            </w:pPr>
            <w:r>
              <w:rPr>
                <w:rFonts w:hint="eastAsia" w:ascii="Times New Roman" w:hAnsi="Times New Roman"/>
                <w:snapToGrid w:val="0"/>
                <w:kern w:val="0"/>
                <w:sz w:val="24"/>
                <w:lang w:val="en-US" w:eastAsia="zh-CN"/>
              </w:rPr>
              <w:t>7、连云港市2022年度上半年建筑施工标准化文明示范工地</w:t>
            </w:r>
          </w:p>
        </w:tc>
        <w:tc>
          <w:tcPr>
            <w:tcW w:w="2127" w:type="dxa"/>
            <w:shd w:val="clear" w:color="auto" w:fill="auto"/>
            <w:vAlign w:val="center"/>
          </w:tcPr>
          <w:p w14:paraId="3A4BE8B1">
            <w:pPr>
              <w:widowControl w:val="0"/>
            </w:pPr>
            <w:r>
              <w:drawing>
                <wp:inline distT="0" distB="0" distL="114300" distR="114300">
                  <wp:extent cx="1209040" cy="679450"/>
                  <wp:effectExtent l="0" t="0" r="1016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1209040" cy="679450"/>
                          </a:xfrm>
                          <a:prstGeom prst="rect">
                            <a:avLst/>
                          </a:prstGeom>
                          <a:noFill/>
                          <a:ln>
                            <a:noFill/>
                          </a:ln>
                        </pic:spPr>
                      </pic:pic>
                    </a:graphicData>
                  </a:graphic>
                </wp:inline>
              </w:drawing>
            </w:r>
          </w:p>
          <w:p w14:paraId="52139047">
            <w:pPr>
              <w:widowControl w:val="0"/>
              <w:rPr>
                <w:rFonts w:hint="eastAsia" w:ascii="宋体" w:hAnsi="宋体" w:eastAsia="宋体" w:cs="宋体"/>
                <w:bCs/>
                <w:kern w:val="2"/>
                <w:sz w:val="21"/>
                <w:szCs w:val="24"/>
                <w:lang w:val="en-US" w:eastAsia="zh-CN" w:bidi="ar-SA"/>
              </w:rPr>
            </w:pPr>
            <w:r>
              <w:drawing>
                <wp:inline distT="0" distB="0" distL="114300" distR="114300">
                  <wp:extent cx="1207770" cy="685165"/>
                  <wp:effectExtent l="0" t="0" r="1143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1207770" cy="685165"/>
                          </a:xfrm>
                          <a:prstGeom prst="rect">
                            <a:avLst/>
                          </a:prstGeom>
                          <a:noFill/>
                          <a:ln>
                            <a:noFill/>
                          </a:ln>
                        </pic:spPr>
                      </pic:pic>
                    </a:graphicData>
                  </a:graphic>
                </wp:inline>
              </w:drawing>
            </w:r>
          </w:p>
        </w:tc>
        <w:tc>
          <w:tcPr>
            <w:tcW w:w="1897" w:type="dxa"/>
            <w:shd w:val="clear" w:color="auto" w:fill="auto"/>
            <w:vAlign w:val="center"/>
          </w:tcPr>
          <w:p w14:paraId="665EACD1">
            <w:pPr>
              <w:widowControl w:val="0"/>
              <w:rPr>
                <w:rFonts w:hint="default" w:ascii="Times New Roman" w:hAnsi="Times New Roman" w:eastAsia="宋体"/>
                <w:snapToGrid w:val="0"/>
                <w:kern w:val="0"/>
                <w:sz w:val="24"/>
                <w:lang w:val="en-US" w:eastAsia="zh-CN"/>
              </w:rPr>
            </w:pPr>
            <w:r>
              <w:rPr>
                <w:rFonts w:hint="eastAsia" w:ascii="Times New Roman" w:hAnsi="Times New Roman"/>
                <w:sz w:val="24"/>
              </w:rPr>
              <w:t>图1：</w:t>
            </w:r>
            <w:r>
              <w:rPr>
                <w:rFonts w:hint="eastAsia" w:ascii="Times New Roman" w:hAnsi="Times New Roman"/>
                <w:sz w:val="24"/>
                <w:lang w:val="en-US" w:eastAsia="zh-CN"/>
              </w:rPr>
              <w:t>全景鸟瞰图</w:t>
            </w:r>
          </w:p>
          <w:p w14:paraId="2AF48678">
            <w:pPr>
              <w:widowControl w:val="0"/>
              <w:jc w:val="both"/>
              <w:rPr>
                <w:rFonts w:ascii="Times New Roman" w:hAnsi="Times New Roman"/>
                <w:snapToGrid w:val="0"/>
                <w:kern w:val="0"/>
                <w:sz w:val="24"/>
              </w:rPr>
            </w:pPr>
          </w:p>
          <w:p w14:paraId="073A3B4E">
            <w:pPr>
              <w:widowControl w:val="0"/>
              <w:jc w:val="both"/>
              <w:rPr>
                <w:rFonts w:ascii="Times New Roman" w:hAnsi="Times New Roman"/>
                <w:snapToGrid w:val="0"/>
                <w:kern w:val="0"/>
                <w:sz w:val="24"/>
              </w:rPr>
            </w:pPr>
          </w:p>
          <w:p w14:paraId="1F8842C5">
            <w:pPr>
              <w:widowControl w:val="0"/>
              <w:rPr>
                <w:rFonts w:hint="default" w:ascii="Times New Roman" w:hAnsi="Times New Roman" w:eastAsia="宋体"/>
                <w:sz w:val="24"/>
                <w:lang w:val="en-US" w:eastAsia="zh-CN"/>
              </w:rPr>
            </w:pPr>
            <w:r>
              <w:rPr>
                <w:rFonts w:hint="eastAsia" w:ascii="Times New Roman" w:hAnsi="Times New Roman"/>
                <w:sz w:val="24"/>
              </w:rPr>
              <w:t>图2：</w:t>
            </w:r>
            <w:r>
              <w:rPr>
                <w:rFonts w:hint="eastAsia" w:ascii="Times New Roman" w:hAnsi="Times New Roman"/>
                <w:sz w:val="24"/>
                <w:lang w:val="en-US" w:eastAsia="zh-CN"/>
              </w:rPr>
              <w:t>室内装修</w:t>
            </w:r>
          </w:p>
          <w:p w14:paraId="20645310">
            <w:pPr>
              <w:widowControl w:val="0"/>
              <w:rPr>
                <w:rFonts w:ascii="Times New Roman" w:hAnsi="Times New Roman" w:eastAsia="宋体" w:cs="宋体"/>
                <w:bCs/>
                <w:kern w:val="0"/>
                <w:sz w:val="24"/>
                <w:szCs w:val="24"/>
                <w:lang w:val="en-US" w:eastAsia="zh-CN" w:bidi="ar-SA"/>
              </w:rPr>
            </w:pPr>
          </w:p>
        </w:tc>
      </w:tr>
    </w:tbl>
    <w:p w14:paraId="3478DA68">
      <w:pPr>
        <w:jc w:val="both"/>
        <w:rPr>
          <w:kern w:val="0"/>
        </w:rPr>
      </w:pPr>
    </w:p>
    <w:sectPr>
      <w:pgSz w:w="16838" w:h="11906" w:orient="landscape"/>
      <w:pgMar w:top="612" w:right="986" w:bottom="612" w:left="98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altName w:val="楷体_GB2312"/>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E4002EFF" w:usb1="C2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仿宋">
    <w:panose1 w:val="02010609060101010101"/>
    <w:charset w:val="86"/>
    <w:family w:val="roma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A4A635"/>
    <w:multiLevelType w:val="singleLevel"/>
    <w:tmpl w:val="A9A4A635"/>
    <w:lvl w:ilvl="0" w:tentative="0">
      <w:start w:val="4"/>
      <w:numFmt w:val="decimal"/>
      <w:suff w:val="nothing"/>
      <w:lvlText w:val="%1、"/>
      <w:lvlJc w:val="left"/>
    </w:lvl>
  </w:abstractNum>
  <w:abstractNum w:abstractNumId="1">
    <w:nsid w:val="0AE680E2"/>
    <w:multiLevelType w:val="singleLevel"/>
    <w:tmpl w:val="0AE680E2"/>
    <w:lvl w:ilvl="0" w:tentative="0">
      <w:start w:val="1"/>
      <w:numFmt w:val="decimal"/>
      <w:suff w:val="nothing"/>
      <w:lvlText w:val="%1、"/>
      <w:lvlJc w:val="left"/>
    </w:lvl>
  </w:abstractNum>
  <w:abstractNum w:abstractNumId="2">
    <w:nsid w:val="732FA371"/>
    <w:multiLevelType w:val="singleLevel"/>
    <w:tmpl w:val="732FA371"/>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FlMmVhZWI0MDdkODY4NDkyZGQ0MTMxNGNmZTIyNmUifQ=="/>
  </w:docVars>
  <w:rsids>
    <w:rsidRoot w:val="0E5A1EB4"/>
    <w:rsid w:val="00015922"/>
    <w:rsid w:val="000509BA"/>
    <w:rsid w:val="00054327"/>
    <w:rsid w:val="00067A6B"/>
    <w:rsid w:val="000C1E2E"/>
    <w:rsid w:val="00103A88"/>
    <w:rsid w:val="00103EEA"/>
    <w:rsid w:val="00124FF2"/>
    <w:rsid w:val="001D71F5"/>
    <w:rsid w:val="001E735F"/>
    <w:rsid w:val="001F3DCA"/>
    <w:rsid w:val="00202382"/>
    <w:rsid w:val="002265F2"/>
    <w:rsid w:val="00260A21"/>
    <w:rsid w:val="002B1A86"/>
    <w:rsid w:val="002C04D2"/>
    <w:rsid w:val="002E20FB"/>
    <w:rsid w:val="002F48BC"/>
    <w:rsid w:val="00315D36"/>
    <w:rsid w:val="00326060"/>
    <w:rsid w:val="003318AA"/>
    <w:rsid w:val="00375B57"/>
    <w:rsid w:val="00385DA6"/>
    <w:rsid w:val="003A481A"/>
    <w:rsid w:val="003D2246"/>
    <w:rsid w:val="003F7D01"/>
    <w:rsid w:val="00463658"/>
    <w:rsid w:val="004D5099"/>
    <w:rsid w:val="005166F0"/>
    <w:rsid w:val="005616D4"/>
    <w:rsid w:val="00573839"/>
    <w:rsid w:val="005F606D"/>
    <w:rsid w:val="0065377F"/>
    <w:rsid w:val="00695DB7"/>
    <w:rsid w:val="006D2DEC"/>
    <w:rsid w:val="006F6E14"/>
    <w:rsid w:val="007022DD"/>
    <w:rsid w:val="00704564"/>
    <w:rsid w:val="00720CD5"/>
    <w:rsid w:val="00767C46"/>
    <w:rsid w:val="00796431"/>
    <w:rsid w:val="007B7939"/>
    <w:rsid w:val="007D48B7"/>
    <w:rsid w:val="007F2A98"/>
    <w:rsid w:val="007F76F8"/>
    <w:rsid w:val="00834977"/>
    <w:rsid w:val="008E1474"/>
    <w:rsid w:val="00943ED3"/>
    <w:rsid w:val="00A32D79"/>
    <w:rsid w:val="00A61216"/>
    <w:rsid w:val="00A645EB"/>
    <w:rsid w:val="00AA3D67"/>
    <w:rsid w:val="00B05E1F"/>
    <w:rsid w:val="00B102AD"/>
    <w:rsid w:val="00B94560"/>
    <w:rsid w:val="00B95809"/>
    <w:rsid w:val="00BB1F66"/>
    <w:rsid w:val="00BB6C0D"/>
    <w:rsid w:val="00BC66E7"/>
    <w:rsid w:val="00BD2727"/>
    <w:rsid w:val="00C07136"/>
    <w:rsid w:val="00C12016"/>
    <w:rsid w:val="00C23246"/>
    <w:rsid w:val="00CB358A"/>
    <w:rsid w:val="00CC370C"/>
    <w:rsid w:val="00CE1E45"/>
    <w:rsid w:val="00D448AD"/>
    <w:rsid w:val="00D80DD6"/>
    <w:rsid w:val="00D875B3"/>
    <w:rsid w:val="00DE2671"/>
    <w:rsid w:val="00E11DE3"/>
    <w:rsid w:val="00EE1143"/>
    <w:rsid w:val="00EE3AC3"/>
    <w:rsid w:val="00F22122"/>
    <w:rsid w:val="00F864E1"/>
    <w:rsid w:val="00FB7B1B"/>
    <w:rsid w:val="032E00A4"/>
    <w:rsid w:val="03FA60FE"/>
    <w:rsid w:val="06FF3C31"/>
    <w:rsid w:val="0E5A1EB4"/>
    <w:rsid w:val="0F154BB3"/>
    <w:rsid w:val="1152366E"/>
    <w:rsid w:val="18DF1B36"/>
    <w:rsid w:val="29C33B18"/>
    <w:rsid w:val="2C2916B9"/>
    <w:rsid w:val="2D313113"/>
    <w:rsid w:val="38E12F30"/>
    <w:rsid w:val="3EDB2624"/>
    <w:rsid w:val="47E12387"/>
    <w:rsid w:val="5D5317E7"/>
    <w:rsid w:val="60935185"/>
    <w:rsid w:val="625A569F"/>
    <w:rsid w:val="66ED2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center"/>
    </w:pPr>
    <w:rPr>
      <w:rFonts w:ascii="宋体" w:hAnsi="宋体" w:eastAsia="宋体" w:cs="宋体"/>
      <w:bCs/>
      <w:kern w:val="2"/>
      <w:sz w:val="21"/>
      <w:szCs w:val="24"/>
      <w:lang w:val="en-US" w:eastAsia="zh-CN" w:bidi="ar-SA"/>
    </w:rPr>
  </w:style>
  <w:style w:type="paragraph" w:styleId="2">
    <w:name w:val="heading 2"/>
    <w:basedOn w:val="1"/>
    <w:next w:val="1"/>
    <w:unhideWhenUsed/>
    <w:qFormat/>
    <w:uiPriority w:val="0"/>
    <w:pPr>
      <w:spacing w:before="100" w:beforeAutospacing="1" w:after="100" w:afterAutospacing="1"/>
      <w:jc w:val="left"/>
      <w:outlineLvl w:val="1"/>
    </w:pPr>
    <w:rPr>
      <w:rFonts w:hint="eastAsia" w:ascii="宋体" w:hAnsi="宋体" w:eastAsia="华文楷体"/>
      <w:b/>
      <w:kern w:val="0"/>
      <w:sz w:val="28"/>
      <w:szCs w:val="36"/>
      <w:lang w:bidi="ar"/>
    </w:rPr>
  </w:style>
  <w:style w:type="paragraph" w:styleId="3">
    <w:name w:val="heading 4"/>
    <w:basedOn w:val="1"/>
    <w:next w:val="1"/>
    <w:link w:val="26"/>
    <w:semiHidden/>
    <w:unhideWhenUsed/>
    <w:qFormat/>
    <w:uiPriority w:val="0"/>
    <w:pPr>
      <w:keepNext/>
      <w:keepLines/>
      <w:spacing w:before="280" w:after="290" w:line="376" w:lineRule="auto"/>
      <w:outlineLvl w:val="3"/>
    </w:pPr>
    <w:rPr>
      <w:rFonts w:asciiTheme="majorHAnsi" w:hAnsiTheme="majorHAnsi" w:eastAsiaTheme="majorEastAsia" w:cstheme="majorBidi"/>
      <w:b/>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next w:val="1"/>
    <w:link w:val="21"/>
    <w:qFormat/>
    <w:uiPriority w:val="0"/>
    <w:pPr>
      <w:spacing w:after="120"/>
    </w:pPr>
  </w:style>
  <w:style w:type="paragraph" w:styleId="6">
    <w:name w:val="Plain Text"/>
    <w:basedOn w:val="1"/>
    <w:qFormat/>
    <w:uiPriority w:val="0"/>
  </w:style>
  <w:style w:type="paragraph" w:styleId="7">
    <w:name w:val="Body Text Indent 2"/>
    <w:basedOn w:val="1"/>
    <w:qFormat/>
    <w:uiPriority w:val="0"/>
    <w:pPr>
      <w:spacing w:line="360" w:lineRule="auto"/>
      <w:ind w:firstLine="560" w:firstLineChars="200"/>
    </w:pPr>
    <w:rPr>
      <w:rFonts w:ascii="Times New Roman" w:hAnsi="Times New Roman"/>
      <w:sz w:val="24"/>
    </w:rPr>
  </w:style>
  <w:style w:type="paragraph" w:styleId="8">
    <w:name w:val="Balloon Text"/>
    <w:basedOn w:val="1"/>
    <w:link w:val="18"/>
    <w:qFormat/>
    <w:uiPriority w:val="0"/>
    <w:rPr>
      <w:sz w:val="18"/>
      <w:szCs w:val="18"/>
    </w:rPr>
  </w:style>
  <w:style w:type="paragraph" w:styleId="9">
    <w:name w:val="footer"/>
    <w:basedOn w:val="1"/>
    <w:link w:val="20"/>
    <w:qFormat/>
    <w:uiPriority w:val="0"/>
    <w:pPr>
      <w:tabs>
        <w:tab w:val="center" w:pos="4153"/>
        <w:tab w:val="right" w:pos="8306"/>
      </w:tabs>
      <w:snapToGrid w:val="0"/>
      <w:jc w:val="left"/>
    </w:pPr>
    <w:rPr>
      <w:sz w:val="18"/>
      <w:szCs w:val="18"/>
    </w:rPr>
  </w:style>
  <w:style w:type="paragraph" w:styleId="10">
    <w:name w:val="header"/>
    <w:basedOn w:val="1"/>
    <w:link w:val="19"/>
    <w:qFormat/>
    <w:uiPriority w:val="0"/>
    <w:pPr>
      <w:pBdr>
        <w:bottom w:val="single" w:color="auto" w:sz="6" w:space="1"/>
      </w:pBdr>
      <w:tabs>
        <w:tab w:val="center" w:pos="4153"/>
        <w:tab w:val="right" w:pos="8306"/>
      </w:tabs>
      <w:snapToGrid w:val="0"/>
    </w:pPr>
    <w:rPr>
      <w:sz w:val="18"/>
      <w:szCs w:val="18"/>
    </w:r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Body Text First Indent"/>
    <w:basedOn w:val="5"/>
    <w:qFormat/>
    <w:uiPriority w:val="0"/>
    <w:pPr>
      <w:spacing w:after="120" w:line="240" w:lineRule="auto"/>
      <w:ind w:firstLine="420" w:firstLineChars="100"/>
    </w:pPr>
    <w:rPr>
      <w:sz w:val="21"/>
      <w:szCs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paragraph" w:customStyle="1" w:styleId="17">
    <w:name w:val="首行缩进正文"/>
    <w:autoRedefine/>
    <w:qFormat/>
    <w:uiPriority w:val="99"/>
    <w:pPr>
      <w:widowControl w:val="0"/>
      <w:snapToGrid w:val="0"/>
      <w:spacing w:line="360" w:lineRule="auto"/>
      <w:ind w:firstLine="200" w:firstLineChars="200"/>
      <w:jc w:val="both"/>
    </w:pPr>
    <w:rPr>
      <w:rFonts w:ascii="宋体" w:hAnsi="Times New Roman" w:eastAsia="宋体" w:cs="宋体"/>
      <w:kern w:val="2"/>
      <w:sz w:val="24"/>
      <w:szCs w:val="24"/>
      <w:lang w:val="en-US" w:eastAsia="zh-CN" w:bidi="ar-SA"/>
    </w:rPr>
  </w:style>
  <w:style w:type="character" w:customStyle="1" w:styleId="18">
    <w:name w:val="批注框文本 字符"/>
    <w:basedOn w:val="15"/>
    <w:link w:val="8"/>
    <w:qFormat/>
    <w:uiPriority w:val="0"/>
    <w:rPr>
      <w:rFonts w:asciiTheme="minorHAnsi" w:hAnsiTheme="minorHAnsi" w:eastAsiaTheme="minorEastAsia" w:cstheme="minorBidi"/>
      <w:kern w:val="2"/>
      <w:sz w:val="18"/>
      <w:szCs w:val="18"/>
    </w:rPr>
  </w:style>
  <w:style w:type="character" w:customStyle="1" w:styleId="19">
    <w:name w:val="页眉 字符"/>
    <w:basedOn w:val="15"/>
    <w:link w:val="10"/>
    <w:qFormat/>
    <w:uiPriority w:val="0"/>
    <w:rPr>
      <w:rFonts w:asciiTheme="minorHAnsi" w:hAnsiTheme="minorHAnsi" w:eastAsiaTheme="minorEastAsia" w:cstheme="minorBidi"/>
      <w:kern w:val="2"/>
      <w:sz w:val="18"/>
      <w:szCs w:val="18"/>
    </w:rPr>
  </w:style>
  <w:style w:type="character" w:customStyle="1" w:styleId="20">
    <w:name w:val="页脚 字符"/>
    <w:basedOn w:val="15"/>
    <w:link w:val="9"/>
    <w:qFormat/>
    <w:uiPriority w:val="0"/>
    <w:rPr>
      <w:rFonts w:asciiTheme="minorHAnsi" w:hAnsiTheme="minorHAnsi" w:eastAsiaTheme="minorEastAsia" w:cstheme="minorBidi"/>
      <w:kern w:val="2"/>
      <w:sz w:val="18"/>
      <w:szCs w:val="18"/>
    </w:rPr>
  </w:style>
  <w:style w:type="character" w:customStyle="1" w:styleId="21">
    <w:name w:val="正文文本 字符"/>
    <w:basedOn w:val="15"/>
    <w:link w:val="5"/>
    <w:qFormat/>
    <w:uiPriority w:val="0"/>
    <w:rPr>
      <w:rFonts w:asciiTheme="minorHAnsi" w:hAnsiTheme="minorHAnsi" w:eastAsiaTheme="minorEastAsia" w:cstheme="minorBidi"/>
      <w:kern w:val="2"/>
      <w:sz w:val="21"/>
      <w:szCs w:val="24"/>
    </w:rPr>
  </w:style>
  <w:style w:type="paragraph" w:styleId="22">
    <w:name w:val="List Paragraph"/>
    <w:basedOn w:val="1"/>
    <w:unhideWhenUsed/>
    <w:qFormat/>
    <w:uiPriority w:val="99"/>
    <w:pPr>
      <w:ind w:firstLine="420" w:firstLineChars="200"/>
    </w:pPr>
  </w:style>
  <w:style w:type="paragraph" w:customStyle="1" w:styleId="23">
    <w:name w:val="证文"/>
    <w:basedOn w:val="1"/>
    <w:qFormat/>
    <w:uiPriority w:val="0"/>
    <w:pPr>
      <w:spacing w:line="360" w:lineRule="auto"/>
    </w:pPr>
  </w:style>
  <w:style w:type="paragraph" w:customStyle="1" w:styleId="24">
    <w:name w:val="正文2"/>
    <w:basedOn w:val="1"/>
    <w:next w:val="1"/>
    <w:qFormat/>
    <w:uiPriority w:val="0"/>
    <w:pPr>
      <w:snapToGrid w:val="0"/>
      <w:spacing w:line="520" w:lineRule="exact"/>
      <w:ind w:firstLine="200"/>
      <w:jc w:val="left"/>
      <w:outlineLvl w:val="3"/>
    </w:pPr>
    <w:rPr>
      <w:kern w:val="0"/>
    </w:rPr>
  </w:style>
  <w:style w:type="paragraph" w:customStyle="1" w:styleId="25">
    <w:name w:val="样式1"/>
    <w:basedOn w:val="1"/>
    <w:next w:val="3"/>
    <w:qFormat/>
    <w:uiPriority w:val="0"/>
    <w:pPr>
      <w:widowControl w:val="0"/>
      <w:spacing w:after="160" w:line="312" w:lineRule="auto"/>
      <w:jc w:val="left"/>
    </w:pPr>
    <w:rPr>
      <w:rFonts w:asciiTheme="minorHAnsi" w:hAnsiTheme="minorHAnsi" w:eastAsiaTheme="minorEastAsia" w:cstheme="minorBidi"/>
      <w:bCs w:val="0"/>
      <w:sz w:val="28"/>
    </w:rPr>
  </w:style>
  <w:style w:type="character" w:customStyle="1" w:styleId="26">
    <w:name w:val="标题 4 字符"/>
    <w:basedOn w:val="15"/>
    <w:link w:val="3"/>
    <w:semiHidden/>
    <w:qFormat/>
    <w:uiPriority w:val="0"/>
    <w:rPr>
      <w:rFonts w:asciiTheme="majorHAnsi" w:hAnsiTheme="majorHAnsi" w:eastAsiaTheme="majorEastAsia" w:cstheme="majorBidi"/>
      <w:b/>
      <w:bCs/>
      <w:kern w:val="2"/>
      <w:sz w:val="28"/>
      <w:szCs w:val="28"/>
    </w:rPr>
  </w:style>
  <w:style w:type="paragraph" w:customStyle="1" w:styleId="27">
    <w:name w:val="Table Text"/>
    <w:basedOn w:val="1"/>
    <w:semiHidden/>
    <w:qFormat/>
    <w:uiPriority w:val="0"/>
    <w:rPr>
      <w:rFonts w:ascii="Arial" w:hAnsi="Arial" w:eastAsia="Arial" w:cs="Arial"/>
      <w:szCs w:val="21"/>
      <w:lang w:eastAsia="en-US"/>
    </w:rPr>
  </w:style>
  <w:style w:type="paragraph" w:customStyle="1" w:styleId="28">
    <w:name w:val="示范工程正文"/>
    <w:basedOn w:val="1"/>
    <w:qFormat/>
    <w:uiPriority w:val="0"/>
    <w:pPr>
      <w:snapToGrid w:val="0"/>
      <w:ind w:firstLine="200"/>
    </w:pPr>
    <w:rPr>
      <w:rFonts w:ascii="仿宋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5604E8-4797-494A-80AA-B1BF72EEED8F}">
  <ds:schemaRefs/>
</ds:datastoreItem>
</file>

<file path=docProps/app.xml><?xml version="1.0" encoding="utf-8"?>
<Properties xmlns="http://schemas.openxmlformats.org/officeDocument/2006/extended-properties" xmlns:vt="http://schemas.openxmlformats.org/officeDocument/2006/docPropsVTypes">
  <Template>Normal</Template>
  <Pages>17</Pages>
  <Words>2321</Words>
  <Characters>13235</Characters>
  <Lines>110</Lines>
  <Paragraphs>31</Paragraphs>
  <TotalTime>4</TotalTime>
  <ScaleCrop>false</ScaleCrop>
  <LinksUpToDate>false</LinksUpToDate>
  <CharactersWithSpaces>15525</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2026-04-30T06:46:00Z</dcterms:created>
  <dc:creator>198----0168</dc:creator>
  <cp:lastModifiedBy>Administrator</cp:lastModifiedBy>
  <cp:lastPrinted>2026-04-29T07:46:00Z</cp:lastPrinted>
  <dcterms:modified xsi:type="dcterms:W3CDTF">2026-05-07T00:54:46Z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8D6B052E8E0A4035A65E7B4BD74F94AB_13</vt:lpwstr>
  </property>
  <property fmtid="{D5CDD505-2E9C-101B-9397-08002B2CF9AE}" pid="4" name="KSOTemplateDocerSaveRecord">
    <vt:lpwstr>eyJoZGlkIjoiYTkxMTEyYTg5NTU0ZTJlOWZlZjFlMWJiNTI5ZDcwNjUiLCJ1c2VySWQiOiIzNTkwMTY4NzAifQ==</vt:lpwstr>
  </property>
</Properties>
</file>