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240" w:lineRule="auto"/>
        <w:rPr>
          <w:rFonts w:ascii="Times New Roman" w:hAnsi="Times New Roman" w:eastAsia="Times New Roman" w:cs="Times New Roman"/>
          <w:sz w:val="20"/>
          <w:szCs w:val="20"/>
        </w:rPr>
      </w:pPr>
    </w:p>
    <w:p>
      <w:pPr>
        <w:spacing w:before="0" w:line="240" w:lineRule="auto"/>
        <w:rPr>
          <w:rFonts w:ascii="Times New Roman" w:hAnsi="Times New Roman" w:eastAsia="Times New Roman" w:cs="Times New Roman"/>
          <w:sz w:val="20"/>
          <w:szCs w:val="20"/>
        </w:rPr>
      </w:pPr>
    </w:p>
    <w:p>
      <w:pPr>
        <w:spacing w:before="0" w:line="240" w:lineRule="auto"/>
        <w:rPr>
          <w:rFonts w:ascii="Times New Roman" w:hAnsi="Times New Roman" w:eastAsia="Times New Roman" w:cs="Times New Roman"/>
          <w:sz w:val="20"/>
          <w:szCs w:val="20"/>
        </w:rPr>
      </w:pPr>
    </w:p>
    <w:p>
      <w:pPr>
        <w:spacing w:before="0" w:line="240" w:lineRule="auto"/>
        <w:rPr>
          <w:rFonts w:ascii="Times New Roman" w:hAnsi="Times New Roman" w:eastAsia="Times New Roman" w:cs="Times New Roman"/>
          <w:sz w:val="20"/>
          <w:szCs w:val="20"/>
        </w:rPr>
      </w:pPr>
    </w:p>
    <w:p>
      <w:pPr>
        <w:spacing w:before="0" w:line="240" w:lineRule="auto"/>
        <w:rPr>
          <w:rFonts w:ascii="Times New Roman" w:hAnsi="Times New Roman" w:eastAsia="Times New Roman" w:cs="Times New Roman"/>
          <w:sz w:val="20"/>
          <w:szCs w:val="20"/>
        </w:rPr>
      </w:pPr>
    </w:p>
    <w:p>
      <w:pPr>
        <w:spacing w:before="0" w:line="240" w:lineRule="auto"/>
        <w:rPr>
          <w:rFonts w:ascii="Times New Roman" w:hAnsi="Times New Roman" w:eastAsia="Times New Roman" w:cs="Times New Roman"/>
          <w:sz w:val="20"/>
          <w:szCs w:val="20"/>
        </w:rPr>
      </w:pPr>
    </w:p>
    <w:p>
      <w:pPr>
        <w:spacing w:before="8" w:line="240" w:lineRule="auto"/>
        <w:rPr>
          <w:rFonts w:ascii="Times New Roman" w:hAnsi="Times New Roman" w:eastAsia="Times New Roman" w:cs="Times New Roman"/>
          <w:sz w:val="26"/>
          <w:szCs w:val="26"/>
        </w:rPr>
      </w:pPr>
    </w:p>
    <w:p>
      <w:pPr>
        <w:spacing w:before="0" w:line="1105" w:lineRule="exact"/>
        <w:ind w:left="79" w:right="127" w:firstLine="0"/>
        <w:jc w:val="center"/>
        <w:rPr>
          <w:rFonts w:ascii="方正小标宋简体" w:hAnsi="方正小标宋简体" w:eastAsia="方正小标宋简体" w:cs="方正小标宋简体"/>
          <w:sz w:val="96"/>
          <w:szCs w:val="96"/>
        </w:rPr>
      </w:pPr>
      <w:r>
        <w:rPr>
          <w:rFonts w:ascii="方正小标宋简体" w:hAnsi="方正小标宋简体" w:eastAsia="方正小标宋简体" w:cs="方正小标宋简体"/>
          <w:color w:val="FF0000"/>
          <w:spacing w:val="68"/>
          <w:w w:val="55"/>
          <w:sz w:val="96"/>
          <w:szCs w:val="96"/>
        </w:rPr>
        <w:t>连云港市住房和城乡建设局文件</w:t>
      </w:r>
    </w:p>
    <w:p>
      <w:pPr>
        <w:spacing w:before="11" w:line="240" w:lineRule="auto"/>
        <w:rPr>
          <w:rFonts w:ascii="方正小标宋简体" w:hAnsi="方正小标宋简体" w:eastAsia="方正小标宋简体" w:cs="方正小标宋简体"/>
          <w:sz w:val="75"/>
          <w:szCs w:val="75"/>
        </w:rPr>
      </w:pPr>
    </w:p>
    <w:p>
      <w:pPr>
        <w:pStyle w:val="2"/>
        <w:tabs>
          <w:tab w:val="left" w:pos="5911"/>
        </w:tabs>
        <w:spacing w:line="240" w:lineRule="auto"/>
        <w:ind w:left="79" w:right="0" w:firstLine="0"/>
        <w:jc w:val="center"/>
        <w:rPr>
          <w:rFonts w:ascii="楷体_GB2312" w:hAnsi="楷体_GB2312" w:eastAsia="楷体_GB2312" w:cs="楷体_GB2312"/>
        </w:rPr>
      </w:pPr>
      <w:r>
        <w:rPr>
          <w:spacing w:val="-6"/>
        </w:rPr>
        <w:t>连建发〔</w:t>
      </w:r>
      <w:r>
        <w:rPr>
          <w:rFonts w:ascii="Times New Roman" w:hAnsi="Times New Roman" w:eastAsia="Times New Roman" w:cs="Times New Roman"/>
          <w:spacing w:val="-6"/>
        </w:rPr>
        <w:t>2024</w:t>
      </w:r>
      <w:r>
        <w:rPr>
          <w:spacing w:val="-6"/>
        </w:rPr>
        <w:t>〕</w:t>
      </w:r>
      <w:r>
        <w:rPr>
          <w:rFonts w:hint="eastAsia" w:ascii="Times New Roman" w:hAnsi="Times New Roman" w:eastAsia="宋体" w:cs="Times New Roman"/>
          <w:spacing w:val="-6"/>
          <w:lang w:val="en-US" w:eastAsia="zh-CN"/>
        </w:rPr>
        <w:t>299</w:t>
      </w:r>
      <w:r>
        <w:t>号</w:t>
      </w:r>
    </w:p>
    <w:p>
      <w:pPr>
        <w:spacing w:before="3" w:line="240" w:lineRule="auto"/>
        <w:rPr>
          <w:rFonts w:ascii="楷体_GB2312" w:hAnsi="楷体_GB2312" w:eastAsia="楷体_GB2312" w:cs="楷体_GB2312"/>
          <w:sz w:val="12"/>
          <w:szCs w:val="12"/>
        </w:rPr>
      </w:pPr>
    </w:p>
    <w:p>
      <w:pPr>
        <w:spacing w:line="61" w:lineRule="exact"/>
        <w:ind w:left="266" w:right="0" w:firstLine="0"/>
        <w:rPr>
          <w:rFonts w:ascii="楷体_GB2312" w:hAnsi="楷体_GB2312" w:eastAsia="楷体_GB2312" w:cs="楷体_GB2312"/>
          <w:sz w:val="6"/>
          <w:szCs w:val="6"/>
        </w:rPr>
      </w:pPr>
      <w:r>
        <w:rPr>
          <w:rFonts w:ascii="楷体_GB2312" w:hAnsi="楷体_GB2312" w:eastAsia="楷体_GB2312" w:cs="楷体_GB2312"/>
          <w:position w:val="0"/>
          <w:sz w:val="6"/>
          <w:szCs w:val="6"/>
        </w:rPr>
        <mc:AlternateContent>
          <mc:Choice Requires="wpg">
            <w:drawing>
              <wp:inline distT="0" distB="0" distL="114300" distR="114300">
                <wp:extent cx="5476240" cy="38735"/>
                <wp:effectExtent l="0" t="0" r="10160" b="18415"/>
                <wp:docPr id="3" name="组合 2"/>
                <wp:cNvGraphicFramePr/>
                <a:graphic xmlns:a="http://schemas.openxmlformats.org/drawingml/2006/main">
                  <a:graphicData uri="http://schemas.microsoft.com/office/word/2010/wordprocessingGroup">
                    <wpg:wgp>
                      <wpg:cNvGrpSpPr/>
                      <wpg:grpSpPr>
                        <a:xfrm>
                          <a:off x="0" y="0"/>
                          <a:ext cx="5476240" cy="38735"/>
                          <a:chOff x="0" y="0"/>
                          <a:chExt cx="8624" cy="61"/>
                        </a:xfrm>
                      </wpg:grpSpPr>
                      <wpg:grpSp>
                        <wpg:cNvPr id="2" name="组合 3"/>
                        <wpg:cNvGrpSpPr/>
                        <wpg:grpSpPr>
                          <a:xfrm>
                            <a:off x="0" y="0"/>
                            <a:ext cx="8624" cy="61"/>
                            <a:chOff x="0" y="0"/>
                            <a:chExt cx="8624" cy="61"/>
                          </a:xfrm>
                        </wpg:grpSpPr>
                        <wps:wsp>
                          <wps:cNvPr id="1" name="任意多边形 4"/>
                          <wps:cNvSpPr/>
                          <wps:spPr>
                            <a:xfrm>
                              <a:off x="0" y="0"/>
                              <a:ext cx="8624" cy="61"/>
                            </a:xfrm>
                            <a:custGeom>
                              <a:avLst/>
                              <a:gdLst/>
                              <a:ahLst/>
                              <a:cxnLst/>
                              <a:pathLst>
                                <a:path w="8624" h="61">
                                  <a:moveTo>
                                    <a:pt x="0" y="61"/>
                                  </a:moveTo>
                                  <a:lnTo>
                                    <a:pt x="0" y="16"/>
                                  </a:lnTo>
                                  <a:lnTo>
                                    <a:pt x="8623" y="0"/>
                                  </a:lnTo>
                                  <a:lnTo>
                                    <a:pt x="8623" y="45"/>
                                  </a:lnTo>
                                  <a:lnTo>
                                    <a:pt x="0" y="61"/>
                                  </a:lnTo>
                                  <a:close/>
                                </a:path>
                              </a:pathLst>
                            </a:custGeom>
                            <a:solidFill>
                              <a:srgbClr val="FF0000"/>
                            </a:solidFill>
                            <a:ln>
                              <a:noFill/>
                            </a:ln>
                          </wps:spPr>
                          <wps:bodyPr upright="1"/>
                        </wps:wsp>
                      </wpg:grpSp>
                    </wpg:wgp>
                  </a:graphicData>
                </a:graphic>
              </wp:inline>
            </w:drawing>
          </mc:Choice>
          <mc:Fallback>
            <w:pict>
              <v:group id="组合 2" o:spid="_x0000_s1026" o:spt="203" style="height:3.05pt;width:431.2pt;" coordsize="8624,61" o:gfxdata="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Dmme6dUAAAADAQAADwAAAAAAAAAB&#10;ACAAAAAiAAAAZHJzL2Rvd25yZXYueG1sUEsBAhQAFAAAAAgAh07iQE4WdamFAgAAxAYAAA4AAAAA&#10;AAAAAQAgAAAAJAEAAGRycy9lMm9Eb2MueG1sUEsFBgAAAAAGAAYAWQEAABsGAAAAAA==&#10;">
                <o:lock v:ext="edit" aspectratio="f"/>
                <v:group id="组合 3" o:spid="_x0000_s1026" o:spt="203" style="position:absolute;left:0;top:0;height:61;width:8624;" coordsize="8624,61"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4" o:spid="_x0000_s1026" o:spt="100" style="position:absolute;left:0;top:0;height:61;width:8624;" fillcolor="#FF0000" filled="t" stroked="f" coordsize="8624,61" o:gfxdata="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4ZfFW8AAAA&#10;2gAAAA8AAAAAAAAAAQAgAAAAIgAAAGRycy9kb3ducmV2LnhtbFBLAQIUABQAAAAIAIdO4kAzLwWe&#10;OwAAADkAAAAQAAAAAAAAAAEAIAAAAAsBAABkcnMvc2hhcGV4bWwueG1sUEsFBgAAAAAGAAYAWwEA&#10;ALUDAAAAAA==&#10;" path="m0,61l0,16,8623,0,8623,45,0,61xe">
                    <v:fill on="t" focussize="0,0"/>
                    <v:stroke on="f"/>
                    <v:imagedata o:title=""/>
                    <o:lock v:ext="edit" aspectratio="f"/>
                  </v:shape>
                </v:group>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2"/>
        <w:jc w:val="center"/>
        <w:textAlignment w:val="auto"/>
        <w:rPr>
          <w:rFonts w:hint="eastAsia" w:ascii="方正小标宋简体" w:hAnsi="方正小标宋简体" w:eastAsia="方正小标宋简体" w:cs="方正小标宋简体"/>
          <w:w w:val="99"/>
          <w:sz w:val="44"/>
          <w:szCs w:val="44"/>
        </w:rPr>
      </w:pPr>
      <w:r>
        <w:rPr>
          <w:rFonts w:hint="eastAsia" w:ascii="方正小标宋简体" w:hAnsi="方正小标宋简体" w:eastAsia="方正小标宋简体" w:cs="方正小标宋简体"/>
          <w:spacing w:val="-8"/>
          <w:sz w:val="44"/>
          <w:szCs w:val="44"/>
        </w:rPr>
        <w:t>连云港市住房和城乡建设局</w:t>
      </w:r>
    </w:p>
    <w:p>
      <w:pPr>
        <w:spacing w:line="560" w:lineRule="exact"/>
        <w:jc w:val="center"/>
        <w:rPr>
          <w:rFonts w:hint="eastAsia" w:ascii="方正小标宋简体" w:hAnsi="仿宋" w:eastAsia="方正小标宋简体"/>
          <w:sz w:val="44"/>
          <w:szCs w:val="44"/>
        </w:rPr>
      </w:pPr>
      <w:bookmarkStart w:id="0" w:name="_GoBack"/>
      <w:r>
        <w:rPr>
          <w:rFonts w:hint="eastAsia" w:ascii="方正小标宋简体" w:hAnsi="仿宋" w:eastAsia="方正小标宋简体"/>
          <w:sz w:val="44"/>
          <w:szCs w:val="44"/>
        </w:rPr>
        <w:t>关于进一步加强市政道路、绿化挖掘占用</w:t>
      </w:r>
      <w:bookmarkEnd w:id="0"/>
    </w:p>
    <w:p>
      <w:pPr>
        <w:spacing w:line="56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管理工作的通知</w:t>
      </w:r>
    </w:p>
    <w:p>
      <w:pPr>
        <w:keepNext w:val="0"/>
        <w:keepLines w:val="0"/>
        <w:pageBreakBefore w:val="0"/>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各县区（功能板块）住建局:</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为进一步加强城市道路、绿化挖掘占用管理，规范现场施工行为，切实保护城市道路、绿化设施完好，维护城市良好形象，根据</w:t>
      </w:r>
      <w:r>
        <w:rPr>
          <w:rFonts w:hint="default" w:ascii="Times New Roman" w:hAnsi="Times New Roman" w:eastAsia="仿宋_GB2312" w:cs="Times New Roman"/>
          <w:color w:val="000000"/>
          <w:sz w:val="32"/>
          <w:szCs w:val="32"/>
        </w:rPr>
        <w:t>国务院《城市道路管理条例》《城镇道路养护技术规范》《江苏省关于开展深化工程建设项目审批制度改革第一批重点任务试行的通知》《连云港市城镇排水管理办法》以及市政府《关于加强市区重点线路市政道路整治提升工作的通知》《关于市区电水气讯接入工程占用挖掘实施承诺制的通知》等文件要求，结合市领导对市政道路、管网、绿化挖掘及养护管理规范化、标准化等批示精神，现就进一步加强市政道路、绿化挖掘占用及管网施工等有关事项通知如下：</w:t>
      </w:r>
    </w:p>
    <w:p>
      <w:pPr>
        <w:pStyle w:val="10"/>
        <w:keepNext w:val="0"/>
        <w:keepLines w:val="0"/>
        <w:pageBreakBefore w:val="0"/>
        <w:kinsoku/>
        <w:wordWrap/>
        <w:overflowPunct/>
        <w:topLinePunct w:val="0"/>
        <w:autoSpaceDE/>
        <w:autoSpaceDN/>
        <w:bidi w:val="0"/>
        <w:adjustRightInd/>
        <w:snapToGrid/>
        <w:spacing w:line="520" w:lineRule="exact"/>
        <w:ind w:firstLine="640"/>
        <w:jc w:val="lef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一、挖掘审批管理</w:t>
      </w:r>
    </w:p>
    <w:p>
      <w:pPr>
        <w:keepNext w:val="0"/>
        <w:keepLines w:val="0"/>
        <w:pageBreakBefore w:val="0"/>
        <w:kinsoku/>
        <w:wordWrap/>
        <w:overflowPunct/>
        <w:topLinePunct w:val="0"/>
        <w:autoSpaceDE/>
        <w:autoSpaceDN/>
        <w:bidi w:val="0"/>
        <w:adjustRightInd/>
        <w:snapToGrid/>
        <w:spacing w:line="520" w:lineRule="exact"/>
        <w:ind w:firstLine="64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所有涉及市政道路、绿化挖掘占用及管网施工的事项，应进一步按照规定做好相关审批、管理手续。按照属地管理原则，</w:t>
      </w:r>
      <w:r>
        <w:rPr>
          <w:rFonts w:hint="default" w:ascii="Times New Roman" w:hAnsi="Times New Roman" w:eastAsia="仿宋_GB2312" w:cs="Times New Roman"/>
          <w:sz w:val="32"/>
          <w:szCs w:val="32"/>
        </w:rPr>
        <w:t>县区（功能板块）</w:t>
      </w:r>
      <w:r>
        <w:rPr>
          <w:rFonts w:hint="default" w:ascii="Times New Roman" w:hAnsi="Times New Roman" w:eastAsia="仿宋_GB2312" w:cs="Times New Roman"/>
          <w:color w:val="000000"/>
          <w:sz w:val="32"/>
          <w:szCs w:val="32"/>
        </w:rPr>
        <w:t>住建局要明确专门科室负责各类挖掘占用项目的扎口管理，统筹负责辖区内各板块、责任主体的挖掘占用管理。做好各类</w:t>
      </w:r>
      <w:r>
        <w:rPr>
          <w:rFonts w:hint="default" w:ascii="Times New Roman" w:hAnsi="Times New Roman" w:eastAsia="仿宋_GB2312" w:cs="Times New Roman"/>
          <w:sz w:val="32"/>
          <w:szCs w:val="32"/>
        </w:rPr>
        <w:t>挖掘占用项目的</w:t>
      </w:r>
      <w:r>
        <w:rPr>
          <w:rFonts w:hint="default" w:ascii="Times New Roman" w:hAnsi="Times New Roman" w:eastAsia="仿宋_GB2312" w:cs="Times New Roman"/>
          <w:color w:val="000000"/>
          <w:sz w:val="32"/>
          <w:szCs w:val="32"/>
        </w:rPr>
        <w:t>登记备案，建立必要的</w:t>
      </w:r>
      <w:r>
        <w:rPr>
          <w:rFonts w:hint="default" w:ascii="Times New Roman" w:hAnsi="Times New Roman" w:eastAsia="仿宋_GB2312" w:cs="Times New Roman"/>
          <w:sz w:val="32"/>
          <w:szCs w:val="32"/>
        </w:rPr>
        <w:t>挖掘占用</w:t>
      </w:r>
      <w:r>
        <w:rPr>
          <w:rFonts w:hint="default" w:ascii="Times New Roman" w:hAnsi="Times New Roman" w:eastAsia="仿宋_GB2312" w:cs="Times New Roman"/>
          <w:color w:val="000000"/>
          <w:sz w:val="32"/>
          <w:szCs w:val="32"/>
        </w:rPr>
        <w:t>项目档案。</w:t>
      </w:r>
    </w:p>
    <w:p>
      <w:pPr>
        <w:keepNext w:val="0"/>
        <w:keepLines w:val="0"/>
        <w:pageBreakBefore w:val="0"/>
        <w:kinsoku/>
        <w:wordWrap/>
        <w:overflowPunct/>
        <w:topLinePunct w:val="0"/>
        <w:autoSpaceDE/>
        <w:autoSpaceDN/>
        <w:bidi w:val="0"/>
        <w:adjustRightInd/>
        <w:snapToGrid/>
        <w:spacing w:line="520" w:lineRule="exact"/>
        <w:ind w:firstLine="64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color w:val="000000"/>
          <w:sz w:val="32"/>
          <w:szCs w:val="32"/>
        </w:rPr>
        <w:t>市政道路、绿化及管网施工等挖掘</w:t>
      </w:r>
      <w:r>
        <w:rPr>
          <w:rFonts w:hint="default" w:ascii="Times New Roman" w:hAnsi="Times New Roman" w:eastAsia="仿宋_GB2312" w:cs="Times New Roman"/>
          <w:sz w:val="32"/>
          <w:szCs w:val="32"/>
        </w:rPr>
        <w:t>占用事项，应按照相关条例规定办理审批手</w:t>
      </w:r>
      <w:r>
        <w:rPr>
          <w:rFonts w:hint="default" w:ascii="Times New Roman" w:hAnsi="Times New Roman" w:eastAsia="仿宋_GB2312" w:cs="Times New Roman"/>
          <w:color w:val="000000"/>
          <w:sz w:val="32"/>
          <w:szCs w:val="32"/>
        </w:rPr>
        <w:t>续</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法律法规等另有规定的除外。因工程建设需要挖掘城市道路的，应当提交规划部门批准签发的文件和有关设计文件，经住建行政主管部门和公安交通管理部门批准，按标准缴纳挖掘占用修复费用后方可按照规定挖掘。</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自来水、燃气等管线发生故障需要紧急抢修的，可以先行破路抢修，并同时通知相关行政主管部门，24小时内按照规定补办挖掘审批手续。水电气讯排水等市政公用报装接入工程涉及市政道路、管网、绿化挖掘占用事项应按照《江苏省关于开展深化工程建设项目审批制度改革第一批重点任务试行的通知》中的《市政公用报装接入再提升行动方案（试行）》《关于市区电水气讯接入工程占用挖掘实施承诺制的通知》等省、市营商环境有关规定执行。</w:t>
      </w:r>
    </w:p>
    <w:p>
      <w:pPr>
        <w:keepNext w:val="0"/>
        <w:keepLines w:val="0"/>
        <w:pageBreakBefore w:val="0"/>
        <w:kinsoku/>
        <w:wordWrap/>
        <w:overflowPunct/>
        <w:topLinePunct w:val="0"/>
        <w:autoSpaceDE/>
        <w:autoSpaceDN/>
        <w:bidi w:val="0"/>
        <w:adjustRightInd/>
        <w:snapToGrid/>
        <w:spacing w:line="520" w:lineRule="exact"/>
        <w:ind w:firstLine="64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（三）住建系统公共基础设施及公益类建设项目，需挖掘占用市政道路、绿化，经批准采用简易审批流程的项目，应按要求接受属地住建部门对应业务科室扎口管理。</w:t>
      </w:r>
    </w:p>
    <w:p>
      <w:pPr>
        <w:pStyle w:val="10"/>
        <w:keepNext w:val="0"/>
        <w:keepLines w:val="0"/>
        <w:pageBreakBefore w:val="0"/>
        <w:kinsoku/>
        <w:wordWrap/>
        <w:overflowPunct/>
        <w:topLinePunct w:val="0"/>
        <w:autoSpaceDE/>
        <w:autoSpaceDN/>
        <w:bidi w:val="0"/>
        <w:adjustRightInd/>
        <w:snapToGrid/>
        <w:spacing w:line="520" w:lineRule="exact"/>
        <w:ind w:firstLine="640"/>
        <w:jc w:val="left"/>
        <w:textAlignment w:val="auto"/>
        <w:rPr>
          <w:rFonts w:hint="default" w:ascii="黑体" w:hAnsi="黑体" w:eastAsia="黑体" w:cs="黑体"/>
          <w:color w:val="000000"/>
          <w:sz w:val="32"/>
          <w:szCs w:val="32"/>
        </w:rPr>
      </w:pPr>
      <w:r>
        <w:rPr>
          <w:rFonts w:hint="default" w:ascii="黑体" w:hAnsi="黑体" w:eastAsia="黑体" w:cs="黑体"/>
          <w:color w:val="000000"/>
          <w:sz w:val="32"/>
          <w:szCs w:val="32"/>
        </w:rPr>
        <w:t>二、挖掘现场管理</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挖掘占用市政道路、绿化及管网施工的单位和个人，应严格要求对照项目方案、审批标准做好现场施工、文明施工，进一步遵守下列规定:</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（一）在施工地段设置围栏等安全防围设施和必要的导向、警示标志，夜间设置照明警示标志。</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（二）在道路的醒目处设置标牌标明施工单位、批准挖掘时间和范围、城市道路挖掘许可证编号等内容。</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（三）挖掘工程实施分段施工，主要道路口和横穿道路的挖掘工程尽可能夜间施工，白天采取措施恢复交通。</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（四）不得擅自移动、拆除城市道路附属设施和交通安全设施。</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（五）施工结束后及时清理施工现场，接受行政主管部门检查验收。</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（六）收集管网、零星管网的施工，现场应按照行业标准做好安全文明施工，完工后接受行政主管部门检查验收。</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（七）因小区开发建设、排水户排水以及其他建设需将雨污水破路接入城市市政雨污水管网的，须同时向属地排水行政主管部门提出申请，办理排水相关手续，按照批准的位置及技术要求与市政管网相接。</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（八）禁止向道路下水道、检查井内排放泥水和倾倒废渣、泥土或其它杂物。</w:t>
      </w:r>
    </w:p>
    <w:p>
      <w:pPr>
        <w:pStyle w:val="10"/>
        <w:keepNext w:val="0"/>
        <w:keepLines w:val="0"/>
        <w:pageBreakBefore w:val="0"/>
        <w:kinsoku/>
        <w:wordWrap/>
        <w:overflowPunct/>
        <w:topLinePunct w:val="0"/>
        <w:autoSpaceDE/>
        <w:autoSpaceDN/>
        <w:bidi w:val="0"/>
        <w:adjustRightInd/>
        <w:snapToGrid/>
        <w:spacing w:line="520" w:lineRule="exact"/>
        <w:ind w:firstLine="640"/>
        <w:jc w:val="left"/>
        <w:textAlignment w:val="auto"/>
        <w:rPr>
          <w:rFonts w:hint="default" w:ascii="黑体" w:hAnsi="黑体" w:eastAsia="黑体" w:cs="黑体"/>
          <w:color w:val="000000"/>
          <w:sz w:val="32"/>
          <w:szCs w:val="32"/>
        </w:rPr>
      </w:pPr>
      <w:r>
        <w:rPr>
          <w:rFonts w:hint="default" w:ascii="黑体" w:hAnsi="黑体" w:eastAsia="黑体" w:cs="黑体"/>
          <w:color w:val="000000"/>
          <w:sz w:val="32"/>
          <w:szCs w:val="32"/>
        </w:rPr>
        <w:t>三、挖掘恢复质量管理</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提高各类挖掘占用工程恢复质量的规范化和标准化水平，不断创新和提高修复工程的材料和工艺水平，市政道路、绿化的挖掘恢复应严格遵守《城镇道路养护技术规范》《城镇道路工程施工与质量验收规范》《江苏省园林工程施工及验收规范》等相关规范要求开展恢复施工。</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挖掘恢复选用的材料、规格、品类等应与挖掘设施一致，相关规格、性能参数应不低于原标准，修复质量应满足《城镇道路工程施工与质量验收规范》《给水排水管道工程施工及验收规范》《江苏省园林工程施工及验收规范》等规范要求。</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（二）挖掘恢复工作应规范化、标准化，加强各关键节点、工序的质量把控，做好关键工序影像资料的留存工作。重点注意事项可参照附件1。</w:t>
      </w:r>
    </w:p>
    <w:p>
      <w:pPr>
        <w:pStyle w:val="10"/>
        <w:keepNext w:val="0"/>
        <w:keepLines w:val="0"/>
        <w:pageBreakBefore w:val="0"/>
        <w:kinsoku/>
        <w:wordWrap/>
        <w:overflowPunct/>
        <w:topLinePunct w:val="0"/>
        <w:autoSpaceDE/>
        <w:autoSpaceDN/>
        <w:bidi w:val="0"/>
        <w:adjustRightInd/>
        <w:snapToGrid/>
        <w:spacing w:line="520" w:lineRule="exact"/>
        <w:ind w:firstLine="640"/>
        <w:jc w:val="left"/>
        <w:textAlignment w:val="auto"/>
        <w:rPr>
          <w:rFonts w:hint="default" w:ascii="黑体" w:hAnsi="黑体" w:eastAsia="黑体" w:cs="黑体"/>
          <w:color w:val="000000"/>
          <w:sz w:val="32"/>
          <w:szCs w:val="32"/>
        </w:rPr>
      </w:pPr>
      <w:r>
        <w:rPr>
          <w:rFonts w:hint="default" w:ascii="黑体" w:hAnsi="黑体" w:eastAsia="黑体" w:cs="黑体"/>
          <w:color w:val="000000"/>
          <w:sz w:val="32"/>
          <w:szCs w:val="32"/>
        </w:rPr>
        <w:t>四、监督与督查</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（一）加强挖掘占用信息共享，市政道路、管网、绿化养护主管部门共享各业务条线挖掘占用信息，及时实施业务规范的宣贯和技术督导，提高精细化管理水平，促进挖掘占用业务的规范化、标准化。</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（二）各类挖掘占用“统一恢复”、“自行恢复”项目，均应严格按照相关规范进行恢复，扎口管理部门会养护部门按规范要求进行验收。</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（三）市、县区两级行政主管部门对挖掘事项的审批、备案情况及施工现场管理、恢复质</w:t>
      </w:r>
      <w:r>
        <w:rPr>
          <w:rFonts w:hint="default" w:ascii="Times New Roman" w:hAnsi="Times New Roman" w:eastAsia="仿宋_GB2312" w:cs="Times New Roman"/>
          <w:sz w:val="32"/>
          <w:szCs w:val="32"/>
        </w:rPr>
        <w:t>量、</w:t>
      </w:r>
      <w:r>
        <w:rPr>
          <w:rFonts w:hint="default" w:ascii="Times New Roman" w:hAnsi="Times New Roman" w:eastAsia="仿宋_GB2312" w:cs="Times New Roman"/>
          <w:color w:val="000000"/>
          <w:sz w:val="32"/>
          <w:szCs w:val="32"/>
        </w:rPr>
        <w:t>管网接入规范等扎口管理情</w:t>
      </w:r>
      <w:r>
        <w:rPr>
          <w:rFonts w:hint="default" w:ascii="Times New Roman" w:hAnsi="Times New Roman" w:eastAsia="仿宋_GB2312" w:cs="Times New Roman"/>
          <w:sz w:val="32"/>
          <w:szCs w:val="32"/>
        </w:rPr>
        <w:t>况进行日常抽查和专项督查考核。</w:t>
      </w:r>
    </w:p>
    <w:p>
      <w:pPr>
        <w:keepNext w:val="0"/>
        <w:keepLines w:val="0"/>
        <w:pageBreakBefore w:val="0"/>
        <w:kinsoku/>
        <w:wordWrap/>
        <w:overflowPunct/>
        <w:topLinePunct w:val="0"/>
        <w:autoSpaceDE/>
        <w:autoSpaceDN/>
        <w:bidi w:val="0"/>
        <w:adjustRightInd/>
        <w:snapToGrid/>
        <w:spacing w:line="520" w:lineRule="exact"/>
        <w:ind w:firstLine="630"/>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20" w:lineRule="exact"/>
        <w:ind w:left="1720" w:leftChars="200" w:hanging="1280" w:hangingChars="4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附件：1.市政道路、绿化挖掘及管网施工需重点关注的标准及规范</w:t>
      </w:r>
    </w:p>
    <w:p>
      <w:pPr>
        <w:keepNext w:val="0"/>
        <w:keepLines w:val="0"/>
        <w:pageBreakBefore w:val="0"/>
        <w:kinsoku/>
        <w:wordWrap/>
        <w:overflowPunct/>
        <w:topLinePunct w:val="0"/>
        <w:autoSpaceDE/>
        <w:autoSpaceDN/>
        <w:bidi w:val="0"/>
        <w:adjustRightInd/>
        <w:snapToGrid/>
        <w:spacing w:line="520" w:lineRule="exact"/>
        <w:ind w:left="1100" w:leftChars="500" w:firstLine="320" w:firstLineChars="1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2.挖掘占用统计表  </w:t>
      </w:r>
    </w:p>
    <w:p>
      <w:pPr>
        <w:keepNext w:val="0"/>
        <w:keepLines w:val="0"/>
        <w:pageBreakBefore w:val="0"/>
        <w:kinsoku/>
        <w:wordWrap/>
        <w:overflowPunct/>
        <w:topLinePunct w:val="0"/>
        <w:autoSpaceDE/>
        <w:autoSpaceDN/>
        <w:bidi w:val="0"/>
        <w:adjustRightInd/>
        <w:snapToGrid/>
        <w:spacing w:line="520" w:lineRule="exact"/>
        <w:ind w:firstLine="40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连云港市住房和城乡建设局</w:t>
      </w:r>
    </w:p>
    <w:p>
      <w:pPr>
        <w:spacing w:line="560" w:lineRule="exact"/>
        <w:ind w:firstLine="405"/>
        <w:jc w:val="center"/>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2024年9月</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日</w:t>
      </w:r>
      <w:r>
        <w:rPr>
          <w:rFonts w:hint="eastAsia" w:ascii="仿宋_GB2312" w:hAnsi="仿宋_GB2312" w:eastAsia="仿宋_GB2312" w:cs="仿宋_GB2312"/>
          <w:sz w:val="32"/>
          <w:szCs w:val="32"/>
        </w:rPr>
        <w:t xml:space="preserve">  </w:t>
      </w:r>
    </w:p>
    <w:p>
      <w:pPr>
        <w:spacing w:after="312" w:afterLines="100" w:line="56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（此件公开发布）</w:t>
      </w:r>
    </w:p>
    <w:p>
      <w:pPr>
        <w:keepNext w:val="0"/>
        <w:keepLines w:val="0"/>
        <w:pageBreakBefore w:val="0"/>
        <w:widowControl w:val="0"/>
        <w:pBdr>
          <w:top w:val="single" w:color="auto" w:sz="4" w:space="0"/>
          <w:bottom w:val="single" w:color="auto" w:sz="4" w:space="0"/>
        </w:pBdr>
        <w:tabs>
          <w:tab w:val="left" w:pos="6240"/>
        </w:tabs>
        <w:kinsoku/>
        <w:wordWrap/>
        <w:overflowPunct/>
        <w:topLinePunct w:val="0"/>
        <w:autoSpaceDE/>
        <w:autoSpaceDN/>
        <w:bidi w:val="0"/>
        <w:adjustRightInd/>
        <w:snapToGrid/>
        <w:spacing w:line="600" w:lineRule="exact"/>
        <w:ind w:right="0" w:firstLine="260" w:firstLineChars="1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pacing w:val="-10"/>
          <w:sz w:val="28"/>
          <w:szCs w:val="28"/>
        </w:rPr>
        <w:t>连云港市住房和城乡建设局办公室</w:t>
      </w:r>
      <w:r>
        <w:rPr>
          <w:rFonts w:hint="default" w:ascii="Times New Roman" w:hAnsi="Times New Roman" w:eastAsia="仿宋_GB2312" w:cs="Times New Roman"/>
          <w:spacing w:val="-10"/>
          <w:sz w:val="28"/>
          <w:szCs w:val="28"/>
        </w:rPr>
        <w:tab/>
      </w:r>
      <w:r>
        <w:rPr>
          <w:rFonts w:hint="default" w:ascii="Times New Roman" w:hAnsi="Times New Roman" w:eastAsia="仿宋_GB2312" w:cs="Times New Roman"/>
          <w:spacing w:val="-4"/>
          <w:sz w:val="28"/>
          <w:szCs w:val="28"/>
        </w:rPr>
        <w:t>2024</w:t>
      </w:r>
      <w:r>
        <w:rPr>
          <w:rFonts w:hint="default" w:ascii="Times New Roman" w:hAnsi="Times New Roman" w:eastAsia="仿宋_GB2312" w:cs="Times New Roman"/>
          <w:spacing w:val="-6"/>
          <w:sz w:val="28"/>
          <w:szCs w:val="28"/>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pacing w:val="-8"/>
          <w:sz w:val="28"/>
          <w:szCs w:val="28"/>
        </w:rPr>
        <w:t>日印发</w:t>
      </w:r>
    </w:p>
    <w:p>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spacing w:line="560" w:lineRule="exact"/>
        <w:ind w:firstLine="405"/>
        <w:jc w:val="center"/>
        <w:rPr>
          <w:rFonts w:hint="eastAsia"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市政道路、绿化</w:t>
      </w:r>
      <w:r>
        <w:rPr>
          <w:rFonts w:hint="eastAsia" w:ascii="方正小标宋简体" w:hAnsi="方正小标宋简体" w:eastAsia="方正小标宋简体" w:cs="方正小标宋简体"/>
          <w:sz w:val="44"/>
          <w:szCs w:val="44"/>
        </w:rPr>
        <w:t>挖掘及</w:t>
      </w:r>
      <w:r>
        <w:rPr>
          <w:rFonts w:ascii="方正小标宋简体" w:hAnsi="方正小标宋简体" w:eastAsia="方正小标宋简体" w:cs="方正小标宋简体"/>
          <w:sz w:val="44"/>
          <w:szCs w:val="44"/>
        </w:rPr>
        <w:t>管网</w:t>
      </w:r>
      <w:r>
        <w:rPr>
          <w:rFonts w:hint="eastAsia" w:ascii="方正小标宋简体" w:hAnsi="方正小标宋简体" w:eastAsia="方正小标宋简体" w:cs="方正小标宋简体"/>
          <w:sz w:val="44"/>
          <w:szCs w:val="44"/>
        </w:rPr>
        <w:t>施工</w:t>
      </w:r>
    </w:p>
    <w:p>
      <w:pPr>
        <w:spacing w:line="560" w:lineRule="exact"/>
        <w:ind w:firstLine="405"/>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需重点关注的标准及规范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一、市政道路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1.掘路前应查明地下管线状况，开挖时不得损坏原有地下管线。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2.掘路宽度应满足压实机械宽度要求，当宽度不适宜机械压实作业时，结构修复必须按原标准提高一个等级进行。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3.掘路宽度大道原路1/2时，面层宜为全幅修复，当掘路宽度大于原路1/2时，应进行专项掘路修复设计。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4.管线的管顶埋深应大于路床300mm，负责应采取加固措施。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5.沟槽回填严禁使用淤泥、腐殖土、垃圾杂物和冻土，雨季回填沟槽内不得有积水，回填土压实度应满足规范要求。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6.沥青路面修复宽度每侧应大于基层宽度200mm，粘层油应涂刷在切割立面，接茬宜采用热接方式，分层碾压。窨井盖与路面应保持齐平，衔接完好。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7.应急抢修或雨季、冬季修补沥青路面，可先采用冷补沥青、混凝土预制块等进行修补整平，条件转好后再做二次修复。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8.人行道、导流岛等铺装面层的修复，铺贴应密实无虚空，周边被扰动的砌块应全部拆除重新铺砌。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9.做好关键节点、工序的影像资料存档工作。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10.其他未尽事宜，应按照《城镇道路养护技术规范》《城镇道路工程施工与质量验收规范》等规范要求执行。</w:t>
      </w:r>
    </w:p>
    <w:p>
      <w:pPr>
        <w:keepNext w:val="0"/>
        <w:keepLines w:val="0"/>
        <w:pageBreakBefore w:val="0"/>
        <w:widowControl w:val="0"/>
        <w:kinsoku/>
        <w:wordWrap/>
        <w:overflowPunct/>
        <w:topLinePunct w:val="0"/>
        <w:autoSpaceDE/>
        <w:autoSpaceDN/>
        <w:bidi w:val="0"/>
        <w:adjustRightInd/>
        <w:snapToGrid/>
        <w:spacing w:line="560" w:lineRule="exact"/>
        <w:ind w:left="829" w:leftChars="304" w:hanging="160" w:hangingChars="5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市住建部门挖掘占用及恢复标准化和技术支持联系人：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市市政公用事业发展中心市政养护科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池贵全，电话：83086585    15261308303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二、管网施工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1.施工前应取得所在地排水主管部门排口报装手续，接入市政管网施工时，应提前通知污水管道权属单位现场指导配合，预降管网水位。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2.加强施工安全管理，落实预防硫化氢中毒、交通安全事故、高空作业坠落等措施。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3.涉及下井作业时，严格执行审批制度，遵守操作规程，落实安全防护措施，安排专门人员进行现场安全管理，遵守先通风、后检测、再作业工作流程。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4.排水管道工程所用的原材料、半成品、成品等产品的品种、规格、性能必须符合国家有关标准的规定和设计要求。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5.对现状检查井开孔施工时，应根据接入管道的规格尺寸，切割适当的孔径，尽量减小对检查井结构的影响；对于开孔作业产生的建筑垃圾应及时清掏，检查井内不得残留建筑垃圾。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6.与现状井连接时，应严格按照施工图纸制定合理的施工措施，确保管道与检查井之间的空隙封堵密实。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7.对于新建管道竣工验收合格后，建设单位应及时进行地理信息测绘，并录入管网GIS系统。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 做好关键节点、工序的影像资料存档工作。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9.其他未尽事宜，按照现有的标准规范执行。</w:t>
      </w:r>
    </w:p>
    <w:p>
      <w:pPr>
        <w:keepNext w:val="0"/>
        <w:keepLines w:val="0"/>
        <w:pageBreakBefore w:val="0"/>
        <w:widowControl w:val="0"/>
        <w:kinsoku/>
        <w:wordWrap/>
        <w:overflowPunct/>
        <w:topLinePunct w:val="0"/>
        <w:autoSpaceDE/>
        <w:autoSpaceDN/>
        <w:bidi w:val="0"/>
        <w:adjustRightInd/>
        <w:snapToGrid/>
        <w:spacing w:line="560" w:lineRule="exact"/>
        <w:ind w:left="829" w:leftChars="304" w:hanging="160" w:hangingChars="5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829" w:leftChars="304" w:hanging="160" w:hangingChars="5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市住建部门挖掘占用及恢复标准化和技术支持联系人：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市市政公用事业发展中心排水管理科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赵金浪，电话：  83086592    13812341211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三、园林绿化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1.质量标准：临时占用绿地时间到期时应按照原面积恢复绿地，绿化恢复的质量应达《江苏省园林工程施工及验收规范》标准。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2.植被恢复:应考虑恢复后绿地与周边景观的融合连通性。恢复的绿地需具有合理的植被结构和种类组成，包括本土植物种类的多样性和群落的稳定性。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3.土壤质量:恢复后的土壤应具有适宜的物理和化学性质，包括良好的通气性和渗透性，以及足够的有机质和养分含量，适宜植物生长。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4.设施恢复：照明、座椅、园路等附属绿化设施应同步恢复并维护。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5.加强养护：恢复后绿地应加强养护和清洁维护，确保景观效果快速恢复和提升。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6.跟踪监管：建立绿地占用恢复项目的跟踪监管和评估机制，以确保绿地恢复进度和效果。</w:t>
      </w:r>
    </w:p>
    <w:p>
      <w:pPr>
        <w:keepNext w:val="0"/>
        <w:keepLines w:val="0"/>
        <w:pageBreakBefore w:val="0"/>
        <w:widowControl w:val="0"/>
        <w:kinsoku/>
        <w:wordWrap/>
        <w:overflowPunct/>
        <w:topLinePunct w:val="0"/>
        <w:autoSpaceDE/>
        <w:autoSpaceDN/>
        <w:bidi w:val="0"/>
        <w:adjustRightInd/>
        <w:snapToGrid/>
        <w:spacing w:line="560" w:lineRule="exact"/>
        <w:ind w:firstLine="405"/>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7.做好关键节点、工序的影像资料存档工作。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市住建部门挖掘占用及恢复标准化和技术支持联系人：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市市政公用事业发展中心园林绿化科</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江可珍，电话： 80197690    13776591011</w:t>
      </w:r>
    </w:p>
    <w:p>
      <w:pPr>
        <w:keepNext w:val="0"/>
        <w:keepLines w:val="0"/>
        <w:pageBreakBefore w:val="0"/>
        <w:kinsoku/>
        <w:wordWrap/>
        <w:overflowPunct/>
        <w:topLinePunct w:val="0"/>
        <w:autoSpaceDE/>
        <w:autoSpaceDN/>
        <w:bidi w:val="0"/>
        <w:adjustRightInd/>
        <w:snapToGrid/>
        <w:spacing w:before="0" w:line="560" w:lineRule="exact"/>
        <w:ind w:left="0" w:leftChars="0"/>
        <w:jc w:val="both"/>
        <w:rPr>
          <w:rFonts w:hint="default" w:ascii="Times New Roman" w:hAnsi="Times New Roman" w:eastAsia="仿宋_GB2312" w:cs="Times New Roman"/>
          <w:sz w:val="32"/>
          <w:szCs w:val="32"/>
        </w:rPr>
        <w:sectPr>
          <w:footerReference r:id="rId5" w:type="default"/>
          <w:footerReference r:id="rId6" w:type="even"/>
          <w:pgSz w:w="11910" w:h="16840"/>
          <w:pgMar w:top="1580" w:right="1360" w:bottom="1520" w:left="1480" w:header="0" w:footer="1443" w:gutter="0"/>
          <w:pgBorders>
            <w:top w:val="none" w:sz="0" w:space="0"/>
            <w:left w:val="none" w:sz="0" w:space="0"/>
            <w:bottom w:val="none" w:sz="0" w:space="0"/>
            <w:right w:val="none" w:sz="0" w:space="0"/>
          </w:pgBorders>
          <w:pgNumType w:fmt="numberInDash"/>
          <w:cols w:space="720" w:num="1"/>
        </w:sectPr>
      </w:pPr>
    </w:p>
    <w:tbl>
      <w:tblPr>
        <w:tblStyle w:val="7"/>
        <w:tblW w:w="13372" w:type="dxa"/>
        <w:tblInd w:w="93" w:type="dxa"/>
        <w:tblLayout w:type="fixed"/>
        <w:tblCellMar>
          <w:top w:w="0" w:type="dxa"/>
          <w:left w:w="108" w:type="dxa"/>
          <w:bottom w:w="0" w:type="dxa"/>
          <w:right w:w="108" w:type="dxa"/>
        </w:tblCellMar>
      </w:tblPr>
      <w:tblGrid>
        <w:gridCol w:w="725"/>
        <w:gridCol w:w="1377"/>
        <w:gridCol w:w="1717"/>
        <w:gridCol w:w="1950"/>
        <w:gridCol w:w="1617"/>
        <w:gridCol w:w="1783"/>
        <w:gridCol w:w="1717"/>
        <w:gridCol w:w="1506"/>
        <w:gridCol w:w="980"/>
      </w:tblGrid>
      <w:tr>
        <w:tblPrEx>
          <w:tblCellMar>
            <w:top w:w="0" w:type="dxa"/>
            <w:left w:w="108" w:type="dxa"/>
            <w:bottom w:w="0" w:type="dxa"/>
            <w:right w:w="108" w:type="dxa"/>
          </w:tblCellMar>
        </w:tblPrEx>
        <w:trPr>
          <w:trHeight w:val="525" w:hRule="atLeast"/>
        </w:trPr>
        <w:tc>
          <w:tcPr>
            <w:tcW w:w="13372" w:type="dxa"/>
            <w:gridSpan w:val="9"/>
            <w:tcBorders>
              <w:top w:val="nil"/>
              <w:left w:val="nil"/>
              <w:bottom w:val="nil"/>
              <w:right w:val="nil"/>
            </w:tcBorders>
            <w:noWrap/>
            <w:vAlign w:val="center"/>
          </w:tcPr>
          <w:p>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widowControl/>
              <w:jc w:val="center"/>
              <w:rPr>
                <w:rFonts w:hint="eastAsia" w:ascii="宋体" w:hAnsi="宋体" w:eastAsia="方正小标宋简体" w:cs="宋体"/>
                <w:color w:val="000000"/>
                <w:kern w:val="0"/>
                <w:sz w:val="36"/>
                <w:szCs w:val="36"/>
              </w:rPr>
            </w:pPr>
            <w:r>
              <w:rPr>
                <w:rFonts w:hint="eastAsia" w:ascii="方正小标宋简体" w:hAnsi="方正小标宋简体" w:eastAsia="方正小标宋简体" w:cs="方正小标宋简体"/>
                <w:color w:val="000000"/>
                <w:kern w:val="0"/>
                <w:sz w:val="44"/>
                <w:szCs w:val="44"/>
              </w:rPr>
              <w:t>挖掘占用分类统计表（道路类、绿化类、管网类）</w:t>
            </w:r>
          </w:p>
        </w:tc>
      </w:tr>
      <w:tr>
        <w:tblPrEx>
          <w:tblCellMar>
            <w:top w:w="0" w:type="dxa"/>
            <w:left w:w="108" w:type="dxa"/>
            <w:bottom w:w="0" w:type="dxa"/>
            <w:right w:w="108" w:type="dxa"/>
          </w:tblCellMar>
        </w:tblPrEx>
        <w:trPr>
          <w:trHeight w:val="629" w:hRule="atLeast"/>
        </w:trPr>
        <w:tc>
          <w:tcPr>
            <w:tcW w:w="7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序号</w:t>
            </w:r>
          </w:p>
        </w:tc>
        <w:tc>
          <w:tcPr>
            <w:tcW w:w="1377"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道路名称</w:t>
            </w:r>
          </w:p>
        </w:tc>
        <w:tc>
          <w:tcPr>
            <w:tcW w:w="1717"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详细位置</w:t>
            </w:r>
          </w:p>
        </w:tc>
        <w:tc>
          <w:tcPr>
            <w:tcW w:w="1950"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挖掘占用单位</w:t>
            </w:r>
          </w:p>
        </w:tc>
        <w:tc>
          <w:tcPr>
            <w:tcW w:w="1617"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事由</w:t>
            </w:r>
          </w:p>
        </w:tc>
        <w:tc>
          <w:tcPr>
            <w:tcW w:w="1783"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挖掘占用日期</w:t>
            </w:r>
          </w:p>
        </w:tc>
        <w:tc>
          <w:tcPr>
            <w:tcW w:w="171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是否取得许可</w:t>
            </w:r>
          </w:p>
        </w:tc>
        <w:tc>
          <w:tcPr>
            <w:tcW w:w="150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修复情况</w:t>
            </w:r>
          </w:p>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统一/自行</w:t>
            </w:r>
          </w:p>
        </w:tc>
        <w:tc>
          <w:tcPr>
            <w:tcW w:w="980"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备注</w:t>
            </w:r>
          </w:p>
        </w:tc>
      </w:tr>
      <w:tr>
        <w:tblPrEx>
          <w:tblCellMar>
            <w:top w:w="0" w:type="dxa"/>
            <w:left w:w="108" w:type="dxa"/>
            <w:bottom w:w="0" w:type="dxa"/>
            <w:right w:w="108" w:type="dxa"/>
          </w:tblCellMar>
        </w:tblPrEx>
        <w:trPr>
          <w:trHeight w:val="315" w:hRule="atLeast"/>
        </w:trPr>
        <w:tc>
          <w:tcPr>
            <w:tcW w:w="72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37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71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95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1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78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c>
          <w:tcPr>
            <w:tcW w:w="1717" w:type="dxa"/>
            <w:tcBorders>
              <w:top w:val="nil"/>
              <w:left w:val="nil"/>
              <w:bottom w:val="single" w:color="auto" w:sz="4" w:space="0"/>
              <w:right w:val="single" w:color="auto" w:sz="4" w:space="0"/>
            </w:tcBorders>
            <w:noWrap w:val="0"/>
            <w:vAlign w:val="center"/>
          </w:tcPr>
          <w:p>
            <w:pPr>
              <w:jc w:val="center"/>
              <w:rPr>
                <w:rFonts w:ascii="宋体" w:hAnsi="宋体" w:cs="宋体"/>
                <w:color w:val="000000"/>
                <w:kern w:val="0"/>
                <w:sz w:val="22"/>
              </w:rPr>
            </w:pPr>
            <w:r>
              <w:rPr>
                <w:rFonts w:hint="eastAsia" w:ascii="宋体" w:hAnsi="宋体" w:cs="宋体"/>
                <w:color w:val="000000"/>
                <w:kern w:val="0"/>
                <w:sz w:val="22"/>
              </w:rPr>
              <w:t>　</w:t>
            </w:r>
          </w:p>
        </w:tc>
        <w:tc>
          <w:tcPr>
            <w:tcW w:w="150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15" w:hRule="atLeast"/>
        </w:trPr>
        <w:tc>
          <w:tcPr>
            <w:tcW w:w="72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37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71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95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1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78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c>
          <w:tcPr>
            <w:tcW w:w="1717" w:type="dxa"/>
            <w:tcBorders>
              <w:top w:val="nil"/>
              <w:left w:val="nil"/>
              <w:bottom w:val="single" w:color="auto" w:sz="4" w:space="0"/>
              <w:right w:val="single" w:color="auto" w:sz="4" w:space="0"/>
            </w:tcBorders>
            <w:noWrap w:val="0"/>
            <w:vAlign w:val="center"/>
          </w:tcPr>
          <w:p>
            <w:pPr>
              <w:jc w:val="center"/>
              <w:rPr>
                <w:rFonts w:ascii="宋体" w:hAnsi="宋体" w:cs="宋体"/>
                <w:color w:val="000000"/>
                <w:kern w:val="0"/>
                <w:sz w:val="22"/>
              </w:rPr>
            </w:pPr>
            <w:r>
              <w:rPr>
                <w:rFonts w:hint="eastAsia" w:ascii="宋体" w:hAnsi="宋体" w:cs="宋体"/>
                <w:color w:val="000000"/>
                <w:kern w:val="0"/>
                <w:sz w:val="22"/>
              </w:rPr>
              <w:t>　</w:t>
            </w:r>
          </w:p>
        </w:tc>
        <w:tc>
          <w:tcPr>
            <w:tcW w:w="150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15" w:hRule="atLeast"/>
        </w:trPr>
        <w:tc>
          <w:tcPr>
            <w:tcW w:w="72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37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71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95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1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78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c>
          <w:tcPr>
            <w:tcW w:w="1717" w:type="dxa"/>
            <w:tcBorders>
              <w:top w:val="nil"/>
              <w:left w:val="nil"/>
              <w:bottom w:val="single" w:color="auto" w:sz="4" w:space="0"/>
              <w:right w:val="single" w:color="auto" w:sz="4" w:space="0"/>
            </w:tcBorders>
            <w:noWrap w:val="0"/>
            <w:vAlign w:val="center"/>
          </w:tcPr>
          <w:p>
            <w:pPr>
              <w:jc w:val="center"/>
              <w:rPr>
                <w:rFonts w:ascii="宋体" w:hAnsi="宋体" w:cs="宋体"/>
                <w:color w:val="000000"/>
                <w:kern w:val="0"/>
                <w:sz w:val="22"/>
              </w:rPr>
            </w:pPr>
            <w:r>
              <w:rPr>
                <w:rFonts w:hint="eastAsia" w:ascii="宋体" w:hAnsi="宋体" w:cs="宋体"/>
                <w:color w:val="000000"/>
                <w:kern w:val="0"/>
                <w:sz w:val="22"/>
              </w:rPr>
              <w:t>　</w:t>
            </w:r>
          </w:p>
        </w:tc>
        <w:tc>
          <w:tcPr>
            <w:tcW w:w="150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15" w:hRule="atLeast"/>
        </w:trPr>
        <w:tc>
          <w:tcPr>
            <w:tcW w:w="72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37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71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95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617"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78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c>
          <w:tcPr>
            <w:tcW w:w="1717" w:type="dxa"/>
            <w:tcBorders>
              <w:top w:val="nil"/>
              <w:left w:val="nil"/>
              <w:bottom w:val="single" w:color="auto" w:sz="4" w:space="0"/>
              <w:right w:val="single" w:color="auto" w:sz="4" w:space="0"/>
            </w:tcBorders>
            <w:noWrap w:val="0"/>
            <w:vAlign w:val="center"/>
          </w:tcPr>
          <w:p>
            <w:pPr>
              <w:jc w:val="center"/>
              <w:rPr>
                <w:rFonts w:ascii="宋体" w:hAnsi="宋体" w:cs="宋体"/>
                <w:color w:val="000000"/>
                <w:kern w:val="0"/>
                <w:sz w:val="22"/>
              </w:rPr>
            </w:pPr>
            <w:r>
              <w:rPr>
                <w:rFonts w:hint="eastAsia" w:ascii="宋体" w:hAnsi="宋体" w:cs="宋体"/>
                <w:color w:val="000000"/>
                <w:kern w:val="0"/>
                <w:sz w:val="22"/>
              </w:rPr>
              <w:t>　</w:t>
            </w:r>
          </w:p>
        </w:tc>
        <w:tc>
          <w:tcPr>
            <w:tcW w:w="150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80"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bl>
    <w:p>
      <w:pPr>
        <w:keepNext w:val="0"/>
        <w:keepLines w:val="0"/>
        <w:pageBreakBefore w:val="0"/>
        <w:kinsoku/>
        <w:wordWrap/>
        <w:overflowPunct/>
        <w:topLinePunct w:val="0"/>
        <w:autoSpaceDE/>
        <w:autoSpaceDN/>
        <w:bidi w:val="0"/>
        <w:adjustRightInd/>
        <w:snapToGrid/>
        <w:spacing w:before="0" w:line="560" w:lineRule="exact"/>
        <w:ind w:left="0" w:leftChars="0"/>
        <w:jc w:val="both"/>
        <w:rPr>
          <w:rFonts w:hint="default" w:ascii="Times New Roman" w:hAnsi="Times New Roman" w:eastAsia="仿宋_GB2312" w:cs="Times New Roman"/>
          <w:sz w:val="32"/>
          <w:szCs w:val="32"/>
        </w:rPr>
      </w:pPr>
    </w:p>
    <w:p>
      <w:pPr>
        <w:spacing w:before="0" w:line="240" w:lineRule="auto"/>
        <w:rPr>
          <w:rFonts w:ascii="仿宋_GB2312" w:hAnsi="仿宋_GB2312" w:eastAsia="仿宋_GB2312" w:cs="仿宋_GB2312"/>
          <w:sz w:val="20"/>
          <w:szCs w:val="20"/>
        </w:rPr>
      </w:pPr>
    </w:p>
    <w:p>
      <w:pPr>
        <w:spacing w:before="0" w:line="240" w:lineRule="auto"/>
        <w:rPr>
          <w:rFonts w:ascii="仿宋_GB2312" w:hAnsi="仿宋_GB2312" w:eastAsia="仿宋_GB2312" w:cs="仿宋_GB2312"/>
          <w:sz w:val="20"/>
          <w:szCs w:val="20"/>
        </w:rPr>
      </w:pPr>
    </w:p>
    <w:p>
      <w:pPr>
        <w:spacing w:before="0" w:line="240" w:lineRule="auto"/>
        <w:rPr>
          <w:rFonts w:ascii="仿宋_GB2312" w:hAnsi="仿宋_GB2312" w:eastAsia="仿宋_GB2312" w:cs="仿宋_GB2312"/>
          <w:sz w:val="20"/>
          <w:szCs w:val="20"/>
        </w:rPr>
      </w:pPr>
    </w:p>
    <w:p>
      <w:pPr>
        <w:spacing w:before="0" w:line="240" w:lineRule="auto"/>
        <w:rPr>
          <w:rFonts w:ascii="仿宋_GB2312" w:hAnsi="仿宋_GB2312" w:eastAsia="仿宋_GB2312" w:cs="仿宋_GB2312"/>
          <w:sz w:val="20"/>
          <w:szCs w:val="20"/>
        </w:rPr>
      </w:pPr>
    </w:p>
    <w:p>
      <w:pPr>
        <w:spacing w:before="0" w:line="240" w:lineRule="auto"/>
        <w:rPr>
          <w:rFonts w:ascii="仿宋_GB2312" w:hAnsi="仿宋_GB2312" w:eastAsia="仿宋_GB2312" w:cs="仿宋_GB2312"/>
          <w:sz w:val="20"/>
          <w:szCs w:val="20"/>
        </w:rPr>
      </w:pPr>
    </w:p>
    <w:p>
      <w:pPr>
        <w:spacing w:before="0" w:line="240" w:lineRule="auto"/>
        <w:rPr>
          <w:rFonts w:ascii="仿宋_GB2312" w:hAnsi="仿宋_GB2312" w:eastAsia="仿宋_GB2312" w:cs="仿宋_GB2312"/>
          <w:sz w:val="20"/>
          <w:szCs w:val="20"/>
        </w:rPr>
      </w:pPr>
    </w:p>
    <w:p>
      <w:pPr>
        <w:spacing w:before="0" w:line="240" w:lineRule="auto"/>
        <w:rPr>
          <w:rFonts w:ascii="仿宋_GB2312" w:hAnsi="仿宋_GB2312" w:eastAsia="仿宋_GB2312" w:cs="仿宋_GB2312"/>
          <w:sz w:val="20"/>
          <w:szCs w:val="20"/>
        </w:rPr>
      </w:pPr>
    </w:p>
    <w:p>
      <w:pPr>
        <w:spacing w:before="0" w:line="240" w:lineRule="auto"/>
        <w:rPr>
          <w:rFonts w:ascii="仿宋_GB2312" w:hAnsi="仿宋_GB2312" w:eastAsia="仿宋_GB2312" w:cs="仿宋_GB2312"/>
          <w:sz w:val="20"/>
          <w:szCs w:val="20"/>
        </w:rPr>
      </w:pPr>
    </w:p>
    <w:p>
      <w:pPr>
        <w:spacing w:before="0" w:line="240" w:lineRule="auto"/>
        <w:rPr>
          <w:rFonts w:ascii="仿宋_GB2312" w:hAnsi="仿宋_GB2312" w:eastAsia="仿宋_GB2312" w:cs="仿宋_GB2312"/>
          <w:sz w:val="20"/>
          <w:szCs w:val="20"/>
        </w:rPr>
      </w:pPr>
    </w:p>
    <w:p>
      <w:pPr>
        <w:spacing w:before="0" w:line="240" w:lineRule="auto"/>
        <w:rPr>
          <w:rFonts w:ascii="仿宋_GB2312" w:hAnsi="仿宋_GB2312" w:eastAsia="仿宋_GB2312" w:cs="仿宋_GB2312"/>
          <w:sz w:val="20"/>
          <w:szCs w:val="20"/>
        </w:rPr>
      </w:pPr>
    </w:p>
    <w:p>
      <w:pPr>
        <w:spacing w:before="0" w:line="240" w:lineRule="auto"/>
        <w:rPr>
          <w:rFonts w:ascii="仿宋_GB2312" w:hAnsi="仿宋_GB2312" w:eastAsia="仿宋_GB2312" w:cs="仿宋_GB2312"/>
          <w:sz w:val="20"/>
          <w:szCs w:val="20"/>
        </w:rPr>
      </w:pPr>
    </w:p>
    <w:p>
      <w:pPr>
        <w:spacing w:before="0" w:line="240" w:lineRule="auto"/>
        <w:rPr>
          <w:rFonts w:ascii="仿宋_GB2312" w:hAnsi="仿宋_GB2312" w:eastAsia="仿宋_GB2312" w:cs="仿宋_GB2312"/>
          <w:sz w:val="20"/>
          <w:szCs w:val="20"/>
        </w:rPr>
      </w:pPr>
    </w:p>
    <w:p>
      <w:pPr>
        <w:pBdr>
          <w:top w:val="none" w:color="auto" w:sz="0" w:space="0"/>
          <w:left w:val="none" w:color="auto" w:sz="0" w:space="0"/>
          <w:bottom w:val="none" w:color="auto" w:sz="0" w:space="0"/>
          <w:right w:val="none" w:color="auto" w:sz="0" w:space="0"/>
          <w:between w:val="none" w:color="auto" w:sz="0" w:space="0"/>
        </w:pBdr>
        <w:spacing w:before="0" w:line="240" w:lineRule="auto"/>
        <w:rPr>
          <w:rFonts w:hint="default" w:ascii="仿宋_GB2312" w:hAnsi="仿宋_GB2312" w:eastAsia="仿宋_GB2312" w:cs="仿宋_GB2312"/>
          <w:sz w:val="20"/>
          <w:szCs w:val="20"/>
        </w:rPr>
      </w:pPr>
    </w:p>
    <w:sectPr>
      <w:pgSz w:w="16840" w:h="11910" w:orient="landscape"/>
      <w:pgMar w:top="1480" w:right="1580" w:bottom="1361" w:left="1520" w:header="0" w:footer="1446" w:gutter="0"/>
      <w:paperSrc/>
      <w:pgBorders>
        <w:top w:val="none" w:sz="0" w:space="0"/>
        <w:left w:val="none" w:sz="0" w:space="0"/>
        <w:bottom w:val="none" w:sz="0" w:space="0"/>
        <w:right w:val="none" w:sz="0" w:space="0"/>
      </w:pgBorders>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4"/>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- 2 -</w:t>
                    </w:r>
                    <w:r>
                      <w:rPr>
                        <w:rFonts w:hint="default" w:ascii="Times New Roman" w:hAnsi="Times New Roman" w:cs="Times New Roman"/>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4A6FC5"/>
    <w:rsid w:val="22E372DB"/>
    <w:rsid w:val="364F5F6F"/>
    <w:rsid w:val="36AF567D"/>
    <w:rsid w:val="5BC44668"/>
    <w:rsid w:val="63655E39"/>
    <w:rsid w:val="639C4D89"/>
    <w:rsid w:val="7C0134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06" w:firstLine="621"/>
    </w:pPr>
    <w:rPr>
      <w:rFonts w:ascii="仿宋_GB2312" w:hAnsi="仿宋_GB2312" w:eastAsia="仿宋_GB2312"/>
      <w:sz w:val="32"/>
      <w:szCs w:val="32"/>
    </w:rPr>
  </w:style>
  <w:style w:type="paragraph" w:styleId="3">
    <w:name w:val="Body Text Indent"/>
    <w:basedOn w:val="1"/>
    <w:qFormat/>
    <w:uiPriority w:val="0"/>
    <w:pPr>
      <w:spacing w:after="120"/>
      <w:ind w:left="20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widowControl/>
      <w:ind w:firstLine="200" w:firstLineChars="200"/>
      <w:textAlignment w:val="baseline"/>
    </w:pPr>
    <w:rPr>
      <w:rFonts w:ascii="Calibri" w:hAnsi="Calibri" w:eastAsia="宋体"/>
      <w:szCs w:val="24"/>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paragraph" w:customStyle="1" w:styleId="12">
    <w:name w:val="A正文"/>
    <w:basedOn w:val="1"/>
    <w:qFormat/>
    <w:uiPriority w:val="0"/>
    <w:pPr>
      <w:spacing w:line="360" w:lineRule="auto"/>
      <w:ind w:firstLine="200" w:firstLineChars="200"/>
    </w:pPr>
    <w:rPr>
      <w:rFonts w:ascii="Times New Roman" w:hAnsi="Times New Roman" w:eastAsia="宋体" w:cs="Times New Roman"/>
      <w:kern w:val="0"/>
      <w:sz w:val="24"/>
      <w:szCs w:val="20"/>
    </w:rPr>
  </w:style>
  <w:style w:type="paragraph" w:customStyle="1" w:styleId="13">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TotalTime>1</TotalTime>
  <ScaleCrop>false</ScaleCrop>
  <LinksUpToDate>false</LinksUpToDate>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2024-06-11T10:21:00Z</dcterms:created>
  <dc:creator>Billgates</dc:creator>
  <cp:lastModifiedBy>雲</cp:lastModifiedBy>
  <dcterms:modified xsi:type="dcterms:W3CDTF">2024-09-09T08:22:21Z</dcterms:modified>
  <dc:title>徐州市财政局文件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WPS 文字</vt:lpwstr>
  </property>
  <property fmtid="{D5CDD505-2E9C-101B-9397-08002B2CF9AE}" pid="4" name="LastSaved">
    <vt:filetime>2024-06-11T00:00:00Z</vt:filetime>
  </property>
  <property fmtid="{D5CDD505-2E9C-101B-9397-08002B2CF9AE}" pid="5" name="KSOProductBuildVer">
    <vt:lpwstr>2052-11.8.2.12118</vt:lpwstr>
  </property>
  <property fmtid="{D5CDD505-2E9C-101B-9397-08002B2CF9AE}" pid="6" name="ICV">
    <vt:lpwstr>E1405E4A405449CB8E8940B03AAE9F20</vt:lpwstr>
  </property>
</Properties>
</file>