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line="300" w:lineRule="atLeast"/>
        <w:rPr>
          <w:rFonts w:ascii="黑体" w:hAnsi="黑体" w:eastAsia="黑体" w:cs="仿宋_GB2312"/>
          <w:w w:val="95"/>
          <w:kern w:val="0"/>
          <w:sz w:val="32"/>
          <w:szCs w:val="32"/>
        </w:rPr>
      </w:pPr>
      <w:r>
        <w:rPr>
          <w:rFonts w:hint="eastAsia" w:ascii="黑体" w:hAnsi="黑体" w:eastAsia="黑体" w:cs="仿宋_GB2312"/>
          <w:w w:val="95"/>
          <w:kern w:val="0"/>
          <w:sz w:val="32"/>
          <w:szCs w:val="32"/>
        </w:rPr>
        <w:t>附件</w:t>
      </w:r>
    </w:p>
    <w:p>
      <w:pPr>
        <w:widowControl/>
        <w:adjustRightInd w:val="0"/>
        <w:snapToGrid w:val="0"/>
        <w:jc w:val="center"/>
        <w:rPr>
          <w:rFonts w:ascii="方正小标宋简体" w:hAnsi="方正小标宋简体" w:eastAsia="方正小标宋简体" w:cs="方正小标宋简体"/>
          <w:w w:val="95"/>
          <w:kern w:val="0"/>
          <w:sz w:val="44"/>
          <w:szCs w:val="44"/>
        </w:rPr>
      </w:pPr>
      <w:r>
        <w:rPr>
          <w:rFonts w:hint="eastAsia" w:ascii="方正小标宋简体" w:hAnsi="方正小标宋简体" w:eastAsia="方正小标宋简体" w:cs="方正小标宋简体"/>
          <w:w w:val="95"/>
          <w:kern w:val="0"/>
          <w:sz w:val="44"/>
          <w:szCs w:val="44"/>
        </w:rPr>
        <w:t>连云港市住宅物业服务项目负责人信用评价</w:t>
      </w:r>
    </w:p>
    <w:p>
      <w:pPr>
        <w:widowControl/>
        <w:adjustRightInd w:val="0"/>
        <w:snapToGrid w:val="0"/>
        <w:jc w:val="center"/>
        <w:rPr>
          <w:rFonts w:ascii="Times New Roman" w:hAnsi="方正小标宋简体" w:eastAsia="方正小标宋简体" w:cs="方正小标宋简体"/>
          <w:snapToGrid w:val="0"/>
          <w:kern w:val="0"/>
          <w:sz w:val="44"/>
          <w:szCs w:val="44"/>
        </w:rPr>
      </w:pPr>
      <w:r>
        <w:rPr>
          <w:rFonts w:hint="eastAsia" w:ascii="方正小标宋简体" w:hAnsi="方正小标宋简体" w:eastAsia="方正小标宋简体" w:cs="方正小标宋简体"/>
          <w:w w:val="95"/>
          <w:kern w:val="0"/>
          <w:sz w:val="44"/>
          <w:szCs w:val="44"/>
        </w:rPr>
        <w:t>管理办法</w:t>
      </w:r>
      <w:r>
        <w:rPr>
          <w:rFonts w:hint="eastAsia" w:ascii="Times New Roman" w:hAnsi="方正小标宋简体" w:eastAsia="方正小标宋简体" w:cs="方正小标宋简体"/>
          <w:snapToGrid w:val="0"/>
          <w:kern w:val="0"/>
          <w:sz w:val="44"/>
          <w:szCs w:val="44"/>
        </w:rPr>
        <w:t>（试行）</w:t>
      </w:r>
    </w:p>
    <w:p>
      <w:pPr>
        <w:widowControl/>
        <w:adjustRightInd w:val="0"/>
        <w:snapToGrid w:val="0"/>
        <w:jc w:val="center"/>
        <w:rPr>
          <w:rFonts w:ascii="楷体_GB2312" w:hAnsi="方正小标宋简体" w:eastAsia="楷体_GB2312" w:cs="方正小标宋简体"/>
          <w:snapToGrid w:val="0"/>
          <w:kern w:val="0"/>
          <w:sz w:val="32"/>
          <w:szCs w:val="32"/>
        </w:rPr>
      </w:pPr>
    </w:p>
    <w:p>
      <w:pPr>
        <w:widowControl/>
        <w:adjustRightInd w:val="0"/>
        <w:snapToGrid w:val="0"/>
        <w:jc w:val="center"/>
        <w:rPr>
          <w:rFonts w:hint="eastAsia" w:ascii="楷体_GB2312" w:hAnsi="方正小标宋简体" w:eastAsia="楷体_GB2312" w:cs="方正小标宋简体"/>
          <w:w w:val="95"/>
          <w:kern w:val="0"/>
          <w:sz w:val="32"/>
          <w:szCs w:val="32"/>
        </w:rPr>
      </w:pPr>
      <w:r>
        <w:rPr>
          <w:rFonts w:hint="eastAsia" w:ascii="楷体_GB2312" w:hAnsi="方正小标宋简体" w:eastAsia="楷体_GB2312" w:cs="方正小标宋简体"/>
          <w:snapToGrid w:val="0"/>
          <w:kern w:val="0"/>
          <w:sz w:val="32"/>
          <w:szCs w:val="32"/>
        </w:rPr>
        <w:t>（征求意见稿）</w:t>
      </w:r>
    </w:p>
    <w:p>
      <w:pPr>
        <w:widowControl/>
        <w:spacing w:before="100" w:beforeAutospacing="1" w:after="100" w:afterAutospacing="1" w:line="300" w:lineRule="atLeast"/>
        <w:jc w:val="center"/>
        <w:rPr>
          <w:rFonts w:ascii="黑体" w:hAnsi="黑体" w:eastAsia="黑体" w:cs="黑体"/>
          <w:kern w:val="0"/>
          <w:sz w:val="32"/>
          <w:szCs w:val="32"/>
        </w:rPr>
      </w:pPr>
      <w:r>
        <w:rPr>
          <w:rFonts w:hint="eastAsia" w:ascii="黑体" w:hAnsi="黑体" w:eastAsia="黑体" w:cs="黑体"/>
          <w:kern w:val="0"/>
          <w:sz w:val="32"/>
          <w:szCs w:val="32"/>
        </w:rPr>
        <w:t>第一章  总则</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第一条</w:t>
      </w:r>
      <w:r>
        <w:rPr>
          <w:rFonts w:hint="eastAsia" w:ascii="仿宋_GB2312" w:hAnsi="仿宋_GB2312" w:eastAsia="仿宋_GB2312" w:cs="仿宋_GB2312"/>
          <w:kern w:val="0"/>
          <w:sz w:val="32"/>
          <w:szCs w:val="32"/>
        </w:rPr>
        <w:t xml:space="preserve">  为进一步规范住宅物业项目负责人行为，提升物业服务水平，营造诚实守信的物业服务市场环境，构建以信用为核心的新型市场监管体制，促进我市物业服务行业健康有序发展，根据《国务院办公厅关于社会信用体系建设的若干意见》、《江苏省物业管理条例》和《连云港市社会法人和自然人失信惩戒办法》等有关规定，结合本市实际，制定本办法。</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第二条</w:t>
      </w:r>
      <w:r>
        <w:rPr>
          <w:rFonts w:hint="eastAsia" w:ascii="仿宋_GB2312" w:hAnsi="仿宋_GB2312" w:eastAsia="仿宋_GB2312" w:cs="仿宋_GB2312"/>
          <w:kern w:val="0"/>
          <w:sz w:val="32"/>
          <w:szCs w:val="32"/>
        </w:rPr>
        <w:t xml:space="preserve">  本办法适用于本市行政区域内住宅物业服务项目负责人信用信息的采集、评价、等级评定、公示、使用和监管等活动。</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第三条</w:t>
      </w:r>
      <w:r>
        <w:rPr>
          <w:rFonts w:hint="eastAsia" w:ascii="仿宋_GB2312" w:hAnsi="仿宋_GB2312" w:eastAsia="仿宋_GB2312" w:cs="仿宋_GB2312"/>
          <w:kern w:val="0"/>
          <w:sz w:val="32"/>
          <w:szCs w:val="32"/>
        </w:rPr>
        <w:t xml:space="preserve">  在本市行政区域内从事具体住宅物业项目管理的项目负责人（含外埠来连），应当按照本办法规定参加信用信息评价，接受相应管理。</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住宅项目负责人应及时上网查询项目负责人信用信息评价结果。</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第四条</w:t>
      </w:r>
      <w:r>
        <w:rPr>
          <w:rFonts w:hint="eastAsia" w:ascii="仿宋_GB2312" w:hAnsi="仿宋_GB2312" w:eastAsia="仿宋_GB2312" w:cs="仿宋_GB2312"/>
          <w:kern w:val="0"/>
          <w:sz w:val="32"/>
          <w:szCs w:val="32"/>
        </w:rPr>
        <w:t xml:space="preserve">  本办法所称住宅物业服务项目负责人，是指物业服务企业按照物业服务合同的约定，在住宅物业服务项目（含项目中有部分非住宅）中指派的负责组织实施住宅物业项目服务活动，保障项目物业服务质量符合约定标准的责任人。</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办法所称信用信息，是指住宅物业服务项目负责人在物业项目管理相关活动中形成的能够用于分析、判断其遵守物业管理法规、规范和履行物业服务合同等方面信用状况的客观信息，包括身份信息、良好信用信息和不良信用信息等。</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住宅物业项目负责人管理的物业服务项目、本人及其项目内管理人员所获得的信用信息加分及减分事项以同样分值记于项目负责人名下。</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办法所称信用评价管理，是指各级物业行政主管部门会同相关部门，全面考量住宅物业服务项目负责人在合同履约、守信经营、项目服务质量、社会责任等方面的综合能力，对其信用信息进行记分并对信用等级作出评价、公示，建立守信激励和失信惩戒的信用奖惩机制。</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第五条</w:t>
      </w:r>
      <w:r>
        <w:rPr>
          <w:rFonts w:hint="eastAsia" w:ascii="仿宋_GB2312" w:hAnsi="仿宋_GB2312" w:eastAsia="仿宋_GB2312" w:cs="仿宋_GB2312"/>
          <w:kern w:val="0"/>
          <w:sz w:val="32"/>
          <w:szCs w:val="32"/>
        </w:rPr>
        <w:t xml:space="preserve">  住宅物业项目负责人信用评价管理实行统一管理、分级实施、综合评价、动态更新的管理制度，遵循客观、公正、合法和审慎的原则，确保信用信息的真实性、完整性和及时性，充分发挥信用信息公示及等级评价在规范物业项目负责人行为，提升物业项目服务水平中的作用。</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第六条</w:t>
      </w:r>
      <w:r>
        <w:rPr>
          <w:rFonts w:hint="eastAsia" w:ascii="仿宋_GB2312" w:hAnsi="仿宋_GB2312" w:eastAsia="仿宋_GB2312" w:cs="仿宋_GB2312"/>
          <w:kern w:val="0"/>
          <w:sz w:val="32"/>
          <w:szCs w:val="32"/>
        </w:rPr>
        <w:t xml:space="preserve">  市住房和</w:t>
      </w:r>
      <w:r>
        <w:rPr>
          <w:rFonts w:hint="eastAsia" w:ascii="仿宋_GB2312" w:hAnsi="仿宋_GB2312" w:eastAsia="仿宋_GB2312" w:cs="仿宋_GB2312"/>
          <w:kern w:val="0"/>
          <w:sz w:val="32"/>
          <w:szCs w:val="32"/>
          <w:lang w:eastAsia="zh-CN"/>
        </w:rPr>
        <w:t>城乡建设</w:t>
      </w:r>
      <w:r>
        <w:rPr>
          <w:rFonts w:hint="eastAsia" w:ascii="仿宋_GB2312" w:hAnsi="仿宋_GB2312" w:eastAsia="仿宋_GB2312" w:cs="仿宋_GB2312"/>
          <w:kern w:val="0"/>
          <w:sz w:val="32"/>
          <w:szCs w:val="32"/>
        </w:rPr>
        <w:t>局负责全市住宅物业服务项目负责人信用信息系统建设及信用分值的核定、信用等级的综合评定、公示等监督管理工作，指导县（区）物业管理行政主管部门做好住宅物业项目负责人的信用信息日常管理工作，加强与相关部门及市物业管理协会等单位联系，实现信用信息互通和共享。</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市物业管理协会协助各级物业行政主管部门做好住宅物业项目负责人信用信息（仅指行业自律信息）的采集、审核、申请记分和录入等管理工作。</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县（区）物业管理行政主管部门负责本辖区住宅物业服务项目负责人信用信息的采集、审核、申请记分和证明文件上传等管理工作，配合做好信用信息系统的建设工作。街道办事处（乡镇人民政府）、社区居民委员会应结合对辖区内住宅物业服务项目的日常监督管理工作，协助县（区）物业管理行政主管部门做好住宅物业项目负责人信用信息采集、审核和申请记分工作。</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第七条</w:t>
      </w:r>
      <w:r>
        <w:rPr>
          <w:rFonts w:hint="eastAsia" w:ascii="仿宋_GB2312" w:hAnsi="仿宋_GB2312" w:eastAsia="仿宋_GB2312" w:cs="仿宋_GB2312"/>
          <w:kern w:val="0"/>
          <w:sz w:val="32"/>
          <w:szCs w:val="32"/>
        </w:rPr>
        <w:t xml:space="preserve">  连云港市智慧物业网（网址：www.lygwygl.com）是全市住宅物业项目负责人信用信息及等级评价结果的官方发布平台。各县（区）物业行政主管部门、连云港市物业管理协会公布的住宅物业服务项目负责人信用信息及等级评价结果应与连云港市智慧物业网公布的住宅物业项目负责人信用信息内容和等级评价结果保持一致。</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全市各物业项目负责人应及时上网查看网上公示的信用信息记分及评级结果。</w:t>
      </w:r>
    </w:p>
    <w:p>
      <w:pPr>
        <w:widowControl/>
        <w:adjustRightInd w:val="0"/>
        <w:snapToGrid w:val="0"/>
        <w:spacing w:line="300" w:lineRule="auto"/>
        <w:jc w:val="center"/>
        <w:rPr>
          <w:rFonts w:ascii="黑体" w:hAnsi="黑体" w:eastAsia="黑体" w:cs="黑体"/>
          <w:kern w:val="0"/>
          <w:sz w:val="32"/>
          <w:szCs w:val="32"/>
        </w:rPr>
      </w:pPr>
      <w:r>
        <w:rPr>
          <w:rFonts w:hint="eastAsia" w:ascii="黑体" w:hAnsi="黑体" w:eastAsia="黑体" w:cs="黑体"/>
          <w:kern w:val="0"/>
          <w:sz w:val="32"/>
          <w:szCs w:val="32"/>
        </w:rPr>
        <w:t>第二章  信用信息的采集与认定</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第八条</w:t>
      </w:r>
      <w:r>
        <w:rPr>
          <w:rFonts w:hint="eastAsia" w:ascii="仿宋_GB2312" w:hAnsi="仿宋_GB2312" w:eastAsia="仿宋_GB2312" w:cs="仿宋_GB2312"/>
          <w:kern w:val="0"/>
          <w:sz w:val="32"/>
          <w:szCs w:val="32"/>
        </w:rPr>
        <w:t xml:space="preserve">  信用信息的采集，是指对住宅物业服务项目负责人在管项目及负责人的信用信息进行征集、甄别、分类、上传、归档，形成反映和评价住宅物业服务项目负责人在管理、服务物业项目过程中的情况的信用信息档案的活动。</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信用信息采集渠道，包括市、县（区）物业管理行政主管部门向街道办事处（乡镇人民政府）、社区居民委员会以及行政区域内市场监督、物价、质监、消防、城管、公安等相关行政主管部门征询、收集或住宅物业服务项目负责人自行申报等。</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外埠来连住宅物业服务企业的项目负责人仅限采集其在本市取得的信用信息。</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信用信息的采集，应当坚持客观、准确、公正、及时和提供者负责的原则。</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第九条</w:t>
      </w:r>
      <w:r>
        <w:rPr>
          <w:rFonts w:hint="eastAsia" w:ascii="仿宋_GB2312" w:hAnsi="仿宋_GB2312" w:eastAsia="仿宋_GB2312" w:cs="仿宋_GB2312"/>
          <w:kern w:val="0"/>
          <w:sz w:val="32"/>
          <w:szCs w:val="32"/>
        </w:rPr>
        <w:t xml:space="preserve">  物业服务项目负责人信用信息分为基本信用信息、良好信用信息和不良信用信息。</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（一）住宅项目负责人基本信用信息包括：身份证明、项目经理证书、相关履职记录、在管项目名称、面积，专业培训、继续教育记录、联系电话等相关信息。</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住宅项目负责人良好信用信息是指其负责管理的住宅物业项目在物业管理与服务活动中，遵纪守法、诚信经营、自觉维护市场秩序的情况，以及受到各级党委、政府和相关部门、市级以上物业管理协会、市级以上新闻报刊表彰及参与社会公益等良好信用信息，另外还包括项目负责人本人及项目员工在物业管理活动中获得的各级党委、物业行政主管部门、政府相关部门及市级以上物业协会给予的各类表彰、荣誉等。</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住宅项目负责人不良信用信息是指其负责管理的住宅物业项目在物业管理与服务活动中，违反法律、法规、行政规章规定或行业自律规范、物业服务合同约定的行为，以及受到行政处罚、通报批评、媒体曝光、出现重大安全事故和经查实未在规定时限内妥善处理投诉举报等信息，另外还包括项目负责人本人及其项目员工在物业管理活动中所受到的各级党委、物业行政主管部门、政府相关部门及市级以上物业协会给予的通报批评、戒免谈话、处罚等。</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第十条</w:t>
      </w:r>
      <w:r>
        <w:rPr>
          <w:rFonts w:hint="eastAsia" w:ascii="仿宋_GB2312" w:hAnsi="仿宋_GB2312" w:eastAsia="仿宋_GB2312" w:cs="仿宋_GB2312"/>
          <w:kern w:val="0"/>
          <w:sz w:val="32"/>
          <w:szCs w:val="32"/>
        </w:rPr>
        <w:t xml:space="preserve">  住宅项目负责人基本信用信息、良好信用信息由项目负责人通过所在物业服务企业在网上自行填报并对填报信息内容的真实性、有效性和及时性负责。填报的相关信息由项目所在地的县（区）物业行政主管部门负责核实、申请记分和上传证明文件。基本信用信息发生变更或产生良好信用信息的，应自信息发生变更或产生之日起7个工作内自行网上填报并向项目所在地或注册地县（区）物业行政主管部门提供相关证明材料以供核实。</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新设立的物业服务企业的项目负责人，应当自项目中标之日起三个月内，向所在地县（区）物业行政主管部门书面申请报备，报备后向通过物业服务企业向市物业行政主管部门申请登录信用信息管理网并自行填报项目负责人基本信用信息，参与全市住宅物业项目负责人信用信息评价管理。</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第十一条</w:t>
      </w:r>
      <w:r>
        <w:rPr>
          <w:rFonts w:hint="eastAsia" w:ascii="仿宋_GB2312" w:hAnsi="仿宋_GB2312" w:eastAsia="仿宋_GB2312" w:cs="仿宋_GB2312"/>
          <w:kern w:val="0"/>
          <w:sz w:val="32"/>
          <w:szCs w:val="32"/>
        </w:rPr>
        <w:t xml:space="preserve">  住宅物业项目负责人良好信用信息由市、县（区）物业管理行政主管部门和市物业管理协会核实或认定的下列信息组成：</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（一）负责管理的住宅物业项目在各级政府相关部门、市级以上物业行业协会评优评先或检查活动中获得国家、省、市级荣誉称号、通报表彰，根据市物业行政主管部门相关文件规定予以信用加分的；</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（二）住宅物业项目负责人本人在各级党委、政府部门评优评先活动中获得国家、省、市、县（区）级荣誉称号、通报表彰或市级以上物业行业协会表彰，根据市物业行政主管部门相关文件规定予以信用加分的；</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（三）住宅物业项目员工积极参加各级政府部门、各级物业行政主管部门、市物业管理协会组织的各类检查、评比、竞赛和公益类活动等，成绩优异，获得通报表扬、表彰或奖励的。</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bCs/>
          <w:kern w:val="0"/>
          <w:sz w:val="32"/>
          <w:szCs w:val="32"/>
        </w:rPr>
        <w:t>对于取得良好信用信息的，由项目负责人所在企业在良好信用信息生成之日起30日内主动在网上申报，申报时应向企业注册地或项目所在地的县（区）物业管理行政主管部门提供有关部门表彰决定文书或经市、县（区）物业管理行政主管部门和市物业行业协会认定或者查证属实的材料以及其他具有法律效力的其他证明材料，收到</w:t>
      </w:r>
      <w:r>
        <w:rPr>
          <w:rFonts w:hint="eastAsia" w:ascii="仿宋_GB2312" w:hAnsi="仿宋_GB2312" w:eastAsia="仿宋_GB2312" w:cs="仿宋_GB2312"/>
          <w:kern w:val="0"/>
          <w:sz w:val="32"/>
          <w:szCs w:val="32"/>
        </w:rPr>
        <w:t>证明材料的县（区）物业行政主管部门负责核实、申请记分并将证明文件上传至信用信息管理系统，市物业行政主管部门负责网上认定并记分。</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第十二条</w:t>
      </w:r>
      <w:r>
        <w:rPr>
          <w:rFonts w:hint="eastAsia" w:ascii="仿宋_GB2312" w:hAnsi="仿宋_GB2312" w:eastAsia="仿宋_GB2312" w:cs="仿宋_GB2312"/>
          <w:kern w:val="0"/>
          <w:sz w:val="32"/>
          <w:szCs w:val="32"/>
        </w:rPr>
        <w:t xml:space="preserve">  住宅物业项目负责人不良信用信息由市、县（区）物业管理行政主管部门核实或认定的下列信息组成：</w:t>
      </w:r>
    </w:p>
    <w:p>
      <w:pPr>
        <w:widowControl/>
        <w:adjustRightInd w:val="0"/>
        <w:snapToGrid w:val="0"/>
        <w:spacing w:line="300" w:lineRule="auto"/>
        <w:ind w:firstLine="480" w:firstLineChars="15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负责管理的住宅物业管理项目因违反相关规定或管理不到位被各级物业行政主管部门或相关部门、市物业管理协会通报批评，出现重大安全责任事故，或在各类检查、评比及各级政府部门、物业行政主管部门组织的各类活动中被责令整改，在规定期限内拒不整改或整改效果不明显及其他根据各级物业行政主管部门文件规定应予信用扣分的；</w:t>
      </w:r>
    </w:p>
    <w:p>
      <w:pPr>
        <w:widowControl/>
        <w:adjustRightInd w:val="0"/>
        <w:snapToGrid w:val="0"/>
        <w:spacing w:line="300" w:lineRule="auto"/>
        <w:ind w:firstLine="480" w:firstLineChars="15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（二）住宅物业负责人本人或项目内其他管理人员，违反相关规定或物业服务合同的约定，履职不力，侵犯业主合法权益，被通报批评、处罚或被生效判决、仲裁裁决确认应承担责任的。</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住宅项目负责人不良信用信息由物业项目所在地的县（区）物业行政主管部门、市物业管理协会采集、核实、申请记分并将证明文件上传至信用信息管理系统，市物业行政主管部门收到记分申请后，通过书面或短信（微信）方式将拟记分事项告知相关住宅物业项目服务负责人本人和所属企业负责人，通知发出10个工作日后未收到有效书面异议的，直接认定并网上记分。</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住宅物业项目负责人主动向物业行政主管部门申报企业不良信用信息的，记分时可适当降低扣分分值，对刻意隐瞒不良信用信息的，可增加扣分分值。</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市物业行政主管部门收到投诉举报或在工作检查过程中发现住宅项目负责人涉嫌本办法所规定的不良信用信息，可转交县（区）物业行政主管部门调查认定处理，也可直接调查认定并记分。</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第十三条</w:t>
      </w:r>
      <w:r>
        <w:rPr>
          <w:rFonts w:hint="eastAsia" w:ascii="仿宋_GB2312" w:hAnsi="仿宋_GB2312" w:eastAsia="仿宋_GB2312" w:cs="仿宋_GB2312"/>
          <w:kern w:val="0"/>
          <w:sz w:val="32"/>
          <w:szCs w:val="32"/>
        </w:rPr>
        <w:t xml:space="preserve">  信用信息提供单位和自行申报人应当对提供或申报的信用信息真实性、合法有效性、及时性及完整性负责；发现提供或申报的信用信息变更、不准确或失效的，应当及时修改并在信用信息变更或失效之日起7个工作日内向原报送部门提交修改后的信用信息资料。</w:t>
      </w:r>
    </w:p>
    <w:p>
      <w:pPr>
        <w:widowControl/>
        <w:adjustRightInd w:val="0"/>
        <w:snapToGrid w:val="0"/>
        <w:spacing w:line="300" w:lineRule="auto"/>
        <w:ind w:firstLine="640" w:firstLineChars="200"/>
        <w:rPr>
          <w:rFonts w:ascii="Times New Roman" w:hAnsi="Times New Roman" w:eastAsia="仿宋_GB2312" w:cs="仿宋_GB2312"/>
          <w:kern w:val="0"/>
          <w:sz w:val="32"/>
          <w:szCs w:val="32"/>
        </w:rPr>
      </w:pPr>
      <w:r>
        <w:rPr>
          <w:rFonts w:hint="eastAsia" w:ascii="Times New Roman" w:hAnsi="仿宋_GB2312" w:eastAsia="仿宋_GB2312" w:cs="仿宋_GB2312"/>
          <w:kern w:val="0"/>
          <w:sz w:val="32"/>
          <w:szCs w:val="32"/>
        </w:rPr>
        <w:t>信用信息按规定录入平台后，任何单位和个人未经法定程序，不得擅自修改、增删信用信息。</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第十四条</w:t>
      </w:r>
      <w:r>
        <w:rPr>
          <w:rFonts w:hint="eastAsia" w:ascii="仿宋_GB2312" w:hAnsi="仿宋_GB2312" w:eastAsia="仿宋_GB2312" w:cs="仿宋_GB2312"/>
          <w:kern w:val="0"/>
          <w:sz w:val="32"/>
          <w:szCs w:val="32"/>
        </w:rPr>
        <w:t xml:space="preserve">  市、县（区）物业管理行政主管部门对住宅物业项目负责人信用信息的进行核实时，应当以生效的法院判决书、仲裁裁决书或者其他合法有效证明文件为依据。因投诉、重大信访、媒体曝光等途径取得的信息应当经调查核实后认定。</w:t>
      </w:r>
    </w:p>
    <w:p>
      <w:pPr>
        <w:widowControl/>
        <w:adjustRightInd w:val="0"/>
        <w:snapToGrid w:val="0"/>
        <w:spacing w:line="300" w:lineRule="auto"/>
        <w:rPr>
          <w:rFonts w:ascii="仿宋" w:hAnsi="仿宋" w:eastAsia="仿宋" w:cs="宋体"/>
          <w:kern w:val="0"/>
          <w:sz w:val="32"/>
          <w:szCs w:val="32"/>
        </w:rPr>
      </w:pPr>
    </w:p>
    <w:p>
      <w:pPr>
        <w:widowControl/>
        <w:adjustRightInd w:val="0"/>
        <w:snapToGrid w:val="0"/>
        <w:spacing w:line="300" w:lineRule="auto"/>
        <w:jc w:val="center"/>
        <w:rPr>
          <w:rFonts w:ascii="黑体" w:hAnsi="黑体" w:eastAsia="黑体" w:cs="黑体"/>
          <w:kern w:val="0"/>
          <w:sz w:val="32"/>
          <w:szCs w:val="32"/>
        </w:rPr>
      </w:pPr>
      <w:r>
        <w:rPr>
          <w:rFonts w:hint="eastAsia" w:ascii="黑体" w:hAnsi="黑体" w:eastAsia="黑体" w:cs="黑体"/>
          <w:kern w:val="0"/>
          <w:sz w:val="32"/>
          <w:szCs w:val="32"/>
        </w:rPr>
        <w:t>第三章  信用等级评价和公布</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第十五条</w:t>
      </w:r>
      <w:r>
        <w:rPr>
          <w:rFonts w:hint="eastAsia" w:ascii="仿宋_GB2312" w:hAnsi="仿宋_GB2312" w:eastAsia="仿宋_GB2312" w:cs="仿宋_GB2312"/>
          <w:kern w:val="0"/>
          <w:sz w:val="32"/>
          <w:szCs w:val="32"/>
        </w:rPr>
        <w:t xml:space="preserve">  本市实行住宅物业项目负责人信用信息记分及等级评价制度。信用等级评价以项目负责人信用信息总得分为基础，结合社会各方评价综合确定住宅物业项目负责人信用等级。   </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第十六条</w:t>
      </w:r>
      <w:r>
        <w:rPr>
          <w:rFonts w:hint="eastAsia" w:ascii="仿宋_GB2312" w:hAnsi="仿宋_GB2312" w:eastAsia="仿宋_GB2312" w:cs="仿宋_GB2312"/>
          <w:kern w:val="0"/>
          <w:sz w:val="32"/>
          <w:szCs w:val="32"/>
        </w:rPr>
        <w:t xml:space="preserve">  住宅物业项目负责人信用信息记分按照《连云港市住宅物业项目负责人信用等级评价评分标准》（以下简称评分标准）执行。</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住宅物业项目负责人信用的基本分为100分，实行日常加减分制实时录入，根据信用总得分值评定项目负责人信用等级。信用信息总得分=信用基本分＋良好信用信息得分－不良信用信息得分。</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住宅物业项目负责人因良好信息及不良信息产生的信用加分及扣分事项累计计算，自产生之日起有效期为三年（以文件或证书记载日期为准），期满后该项加分或扣分事项在该项目负责人的信用信息档案中统一作清零处理，其他记分值不变。</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项目负责人管理的同一住宅物业管理项目不足一年的，只记分，不予进行信用等级评定。</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第十七条</w:t>
      </w:r>
      <w:r>
        <w:rPr>
          <w:rFonts w:hint="eastAsia" w:ascii="仿宋_GB2312" w:hAnsi="仿宋_GB2312" w:eastAsia="仿宋_GB2312" w:cs="仿宋_GB2312"/>
          <w:kern w:val="0"/>
          <w:sz w:val="32"/>
          <w:szCs w:val="32"/>
        </w:rPr>
        <w:t xml:space="preserve">  住宅物业项目负责人信用等级划分为优秀（AAA级）、良好（AA级）、合格（A级）和不合格（B级）四个等级。</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（一）优秀（AAA级）。信用分值在135分（含）以上，为优秀住宅物业项目负责人，信用等级为AAA级。</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（二）良好（AA级）。信用分值在115分（含）至135分，为良好物业项目负责人，信用等级为AA级。</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（三）合格（A级）。信用分值在85分（含）至115分，为合格物业项目负责人，信用等级为A级。</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（四）不合格（B级）。信用分值在85分以下及一票否决的，为不合格物业项目负责人，信用等级为B级。</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第十八条</w:t>
      </w:r>
      <w:r>
        <w:rPr>
          <w:rFonts w:hint="eastAsia" w:ascii="仿宋_GB2312" w:hAnsi="仿宋_GB2312" w:eastAsia="仿宋_GB2312" w:cs="仿宋_GB2312"/>
          <w:kern w:val="0"/>
          <w:sz w:val="32"/>
          <w:szCs w:val="32"/>
        </w:rPr>
        <w:t xml:space="preserve">  住宅物业项目负责人所管项目有下列情形之一的，除依法应当承担相应的法律责任外，其信用等级可直接评定为不合格（B级）：</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（一）经确认因物业服务方面主要责任发生重大安全事故的；</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（二）因物业服务质量责任引发重大群体上访或越级上访事件，影响社会稳定和正常社会秩序，造成恶劣社会影响的；</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（三）所管项目被市级物业行政主管部门通报批评后在规定期限内拒不整改，或一年内累计被各级物业行政主管部门公开通报批评三次（含）以上的；</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（四）因物业服务质量责任，一年内累计三次 （含）未积极配合有关部门妥善处理投诉或拒不进行整改，被县（区）物业行政主管部门申请列为不合格项目负责人的；</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（五）所管项目存在挪用、骗取、套用住宅专项维修资金，情节严重的；</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（六）经认定的其他严重不良行为。</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第十九条</w:t>
      </w:r>
      <w:r>
        <w:rPr>
          <w:rFonts w:hint="eastAsia" w:ascii="仿宋_GB2312" w:hAnsi="仿宋_GB2312" w:eastAsia="仿宋_GB2312" w:cs="仿宋_GB2312"/>
          <w:kern w:val="0"/>
          <w:sz w:val="32"/>
          <w:szCs w:val="32"/>
        </w:rPr>
        <w:t xml:space="preserve">  本市建立住宅物业项目负责人信用信息等级排序制度。按项目负责人信用信息得分值高低动态排序，得分值相同的，以物业项目面积大小为指标进行先后排序，并向社会公布。</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第二十条</w:t>
      </w:r>
      <w:r>
        <w:rPr>
          <w:rFonts w:hint="eastAsia" w:ascii="仿宋_GB2312" w:hAnsi="仿宋_GB2312" w:eastAsia="仿宋_GB2312" w:cs="仿宋_GB2312"/>
          <w:kern w:val="0"/>
          <w:sz w:val="32"/>
          <w:szCs w:val="32"/>
        </w:rPr>
        <w:t xml:space="preserve">  住宅物业项目负责人对本人或其他项目负责人信用信息记分事项或等级评定有异议的，可在网上评价结果公示后15个工作日内向原信息采集部门或市物业行政主管部门实名提出书面核查申请，逾期提出的，不予受理。</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原信息采集部门或市物业行政主管部门应在收到申请之日起15个工作日内进行核查并书面答复。经核查确认有误或不属于物业项目负责人未尽职履责情形的，应及时予以纠正。核查期间原信用信息记分值及等级认定结果仍为有效。</w:t>
      </w:r>
    </w:p>
    <w:p>
      <w:pPr>
        <w:widowControl/>
        <w:adjustRightInd w:val="0"/>
        <w:snapToGrid w:val="0"/>
        <w:spacing w:line="300" w:lineRule="auto"/>
        <w:ind w:firstLine="640" w:firstLineChars="200"/>
        <w:rPr>
          <w:rFonts w:ascii="仿宋" w:hAnsi="仿宋" w:eastAsia="仿宋" w:cs="宋体"/>
          <w:kern w:val="0"/>
          <w:sz w:val="32"/>
          <w:szCs w:val="32"/>
        </w:rPr>
      </w:pPr>
    </w:p>
    <w:p>
      <w:pPr>
        <w:widowControl/>
        <w:adjustRightInd w:val="0"/>
        <w:snapToGrid w:val="0"/>
        <w:spacing w:line="300" w:lineRule="auto"/>
        <w:ind w:firstLine="480" w:firstLineChars="150"/>
        <w:jc w:val="center"/>
        <w:rPr>
          <w:rFonts w:ascii="仿宋" w:hAnsi="仿宋" w:eastAsia="仿宋" w:cs="宋体"/>
          <w:kern w:val="0"/>
          <w:sz w:val="32"/>
          <w:szCs w:val="32"/>
        </w:rPr>
      </w:pPr>
      <w:r>
        <w:rPr>
          <w:rFonts w:hint="eastAsia" w:ascii="黑体" w:hAnsi="黑体" w:eastAsia="黑体" w:cs="黑体"/>
          <w:kern w:val="0"/>
          <w:sz w:val="32"/>
          <w:szCs w:val="32"/>
        </w:rPr>
        <w:t>第四章  信用信息的披露及使用</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第二十一条</w:t>
      </w:r>
      <w:r>
        <w:rPr>
          <w:rFonts w:hint="eastAsia" w:ascii="仿宋_GB2312" w:hAnsi="仿宋_GB2312" w:eastAsia="仿宋_GB2312" w:cs="仿宋_GB2312"/>
          <w:kern w:val="0"/>
          <w:sz w:val="32"/>
          <w:szCs w:val="32"/>
        </w:rPr>
        <w:t xml:space="preserve">  根据住宅物业项目负责人的不同信用等级，实行差异化分类管理，实施守信激励，失信惩戒。</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物业项目负责人信用等级评价结果作为项目负责人参与评先评优、选聘中、高级项目经理、选聘为国家、省、市物业行业专家、担任招投标评委及本人参与物业项目招投标时为企业信誉加分等的重要依据。</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第二十二条</w:t>
      </w:r>
      <w:r>
        <w:rPr>
          <w:rFonts w:hint="eastAsia" w:ascii="仿宋_GB2312" w:hAnsi="仿宋_GB2312" w:eastAsia="仿宋_GB2312" w:cs="仿宋_GB2312"/>
          <w:kern w:val="0"/>
          <w:sz w:val="32"/>
          <w:szCs w:val="32"/>
        </w:rPr>
        <w:t xml:space="preserve">  对住宅物业项目负责人信用等级实行差别化分类管理，实施守信激励，失信惩戒机制。 </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（一）对3A级物业项目负责人大力支持</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1.等级评定满一年且一直在管原项目的，由市级物业行政主管部门为其颁发优秀项目经理证书，在政府和协会网站公开推介；</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2.优先推荐为国家、省、市级专家库成员；</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3.优先给予外出培训学习、参观、考察和交流名额；</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4.在本人参与新物业项目招投标时可加企业信誉分2分；</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5.优先推荐评聘为中、高级项目经理或招投标评委。</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（二）对2A级项目负责人积极鼓励</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1.积极推荐为省、市级专家库成员；</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2.推荐评聘为中、高级项目经理；</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3.列为参加行业中高层管理人员培训、企业交流等活动的重点对象；</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4.重点给予外出学习、参观、考察和交流名额；</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5.在本人参与新物业项目招投标时可加企业信誉分1分。</w:t>
      </w:r>
    </w:p>
    <w:p>
      <w:pPr>
        <w:widowControl/>
        <w:adjustRightInd w:val="0"/>
        <w:snapToGrid w:val="0"/>
        <w:spacing w:line="300" w:lineRule="auto"/>
        <w:ind w:left="420" w:leftChars="200" w:firstLine="320" w:firstLineChars="1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（三）对A级项目负责人积极引导</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1.推荐为市级专家库专家成员；</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2.推荐评聘为中级项目经理；</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3.推荐参与各类物业管理行业培训学习。</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（四）对B级项目负责人重点监督</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1.列入失信项目经理名单；</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2.增加对其管理项目的日常检查频次；</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3.限制参与中、高级项目经理评聘；</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4.限制所管项目参加市级示范项目等的评比表彰；</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5.不得被评聘为市级专家库专家成员或招投标评委，已被评聘为专家或评委的，可立即解聘；</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6.增加约谈次数，重点监督管理；</w:t>
      </w:r>
    </w:p>
    <w:p>
      <w:pPr>
        <w:widowControl/>
        <w:tabs>
          <w:tab w:val="left" w:pos="958"/>
        </w:tabs>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7.不得作为新的住宅物业项目的负责人。 </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第二十三条</w:t>
      </w:r>
      <w:r>
        <w:rPr>
          <w:rFonts w:hint="eastAsia" w:ascii="仿宋_GB2312" w:hAnsi="仿宋_GB2312" w:eastAsia="仿宋_GB2312" w:cs="仿宋_GB2312"/>
          <w:kern w:val="0"/>
          <w:sz w:val="32"/>
          <w:szCs w:val="32"/>
        </w:rPr>
        <w:t xml:space="preserve">  被评定为不合格（B级）的住宅物业项目负责人，给予6个月的项目整改期，项目整改期满后达到整改要求的，可向市级行政主管部门书面申请恢复原评定等级，拒不整改或经整改仍不到位的，可认定为严重失信企业管理人员，记入严重失信黑名单并推送至市经信委信用办,由该项目所在地县（区）物业行政主管部门向其所属企业发更换或辞退该项目负责人的书面建议。</w:t>
      </w:r>
    </w:p>
    <w:p>
      <w:pPr>
        <w:widowControl/>
        <w:adjustRightInd w:val="0"/>
        <w:snapToGrid w:val="0"/>
        <w:spacing w:line="300" w:lineRule="auto"/>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物业服务企业应审慎录用已记入严重失信黑名单的管理人员担任项目负责人。</w:t>
      </w:r>
    </w:p>
    <w:p>
      <w:pPr>
        <w:widowControl/>
        <w:tabs>
          <w:tab w:val="left" w:pos="958"/>
        </w:tabs>
        <w:adjustRightInd w:val="0"/>
        <w:snapToGrid w:val="0"/>
        <w:spacing w:line="300" w:lineRule="auto"/>
        <w:ind w:firstLine="643" w:firstLineChars="200"/>
        <w:rPr>
          <w:rFonts w:ascii="黑体" w:hAnsi="黑体" w:eastAsia="黑体" w:cs="黑体"/>
          <w:kern w:val="0"/>
          <w:sz w:val="32"/>
          <w:szCs w:val="32"/>
        </w:rPr>
      </w:pPr>
      <w:r>
        <w:rPr>
          <w:rFonts w:hint="eastAsia" w:ascii="仿宋_GB2312" w:hAnsi="仿宋_GB2312" w:eastAsia="仿宋_GB2312" w:cs="仿宋_GB2312"/>
          <w:b/>
          <w:bCs/>
          <w:kern w:val="0"/>
          <w:sz w:val="32"/>
          <w:szCs w:val="32"/>
        </w:rPr>
        <w:t>第二十四条</w:t>
      </w:r>
      <w:r>
        <w:rPr>
          <w:rFonts w:hint="eastAsia" w:ascii="仿宋_GB2312" w:hAnsi="仿宋_GB2312" w:eastAsia="仿宋_GB2312" w:cs="仿宋_GB2312"/>
          <w:kern w:val="0"/>
          <w:sz w:val="32"/>
          <w:szCs w:val="32"/>
        </w:rPr>
        <w:t xml:space="preserve">  物业建设单位、业主大会或物业管理委员会在选聘物业服务企业时，应将项目负责人信用信息等级同时列为重要条件，充分结合市级物业行政主管部门公布的物业项目负责人信用信息等级评价结果，择优选聘。</w:t>
      </w:r>
    </w:p>
    <w:p>
      <w:pPr>
        <w:widowControl/>
        <w:adjustRightInd w:val="0"/>
        <w:snapToGrid w:val="0"/>
        <w:spacing w:line="300" w:lineRule="auto"/>
        <w:ind w:firstLine="480" w:firstLineChars="150"/>
        <w:jc w:val="center"/>
        <w:rPr>
          <w:rFonts w:ascii="黑体" w:hAnsi="黑体" w:eastAsia="黑体" w:cs="黑体"/>
          <w:kern w:val="0"/>
          <w:sz w:val="32"/>
          <w:szCs w:val="32"/>
        </w:rPr>
      </w:pPr>
      <w:r>
        <w:rPr>
          <w:rFonts w:hint="eastAsia" w:ascii="黑体" w:hAnsi="黑体" w:eastAsia="黑体" w:cs="黑体"/>
          <w:kern w:val="0"/>
          <w:sz w:val="32"/>
          <w:szCs w:val="32"/>
        </w:rPr>
        <w:t>第五章  附则</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第二十五条</w:t>
      </w:r>
      <w:r>
        <w:rPr>
          <w:rFonts w:hint="eastAsia" w:ascii="仿宋_GB2312" w:hAnsi="仿宋_GB2312" w:eastAsia="仿宋_GB2312" w:cs="仿宋_GB2312"/>
          <w:kern w:val="0"/>
          <w:sz w:val="32"/>
          <w:szCs w:val="32"/>
        </w:rPr>
        <w:t xml:space="preserve">  市物业管理行政主管部门可根据实际情况定期对信用记分项目、加减分标准进行调整并公示。</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第二十六条</w:t>
      </w:r>
      <w:r>
        <w:rPr>
          <w:rFonts w:hint="eastAsia" w:ascii="仿宋_GB2312" w:hAnsi="仿宋_GB2312" w:eastAsia="仿宋_GB2312" w:cs="仿宋_GB2312"/>
          <w:kern w:val="0"/>
          <w:sz w:val="32"/>
          <w:szCs w:val="32"/>
        </w:rPr>
        <w:t xml:space="preserve">  信息提供单位因提供不真实信息侵害他人合法权益，造成经济损失的，应追究其相应责任。</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第二十七条</w:t>
      </w:r>
      <w:r>
        <w:rPr>
          <w:rFonts w:hint="eastAsia" w:ascii="仿宋_GB2312" w:hAnsi="仿宋_GB2312" w:eastAsia="仿宋_GB2312" w:cs="仿宋_GB2312"/>
          <w:kern w:val="0"/>
          <w:sz w:val="32"/>
          <w:szCs w:val="32"/>
        </w:rPr>
        <w:t xml:space="preserve">  市、区县物业管理行政主管部门、街道办事处工作人员在信用信息管理工作中，玩忽职守、弄虚作假或徇私舞弊的，依法追究行政责任；构成犯罪的，依法追究刑事责任。</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第二十八条</w:t>
      </w:r>
      <w:r>
        <w:rPr>
          <w:rFonts w:hint="eastAsia" w:ascii="仿宋_GB2312" w:hAnsi="仿宋_GB2312" w:eastAsia="仿宋_GB2312" w:cs="仿宋_GB2312"/>
          <w:kern w:val="0"/>
          <w:sz w:val="32"/>
          <w:szCs w:val="32"/>
        </w:rPr>
        <w:t xml:space="preserve">  非本市注册的物业项目负责人的信用信息评定情况，由市物业管理行政主管部门每年定期向企业注册地物业管理行政主管部门通报。</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第二十九条</w:t>
      </w:r>
      <w:r>
        <w:rPr>
          <w:rFonts w:hint="eastAsia" w:ascii="仿宋_GB2312" w:hAnsi="仿宋_GB2312" w:eastAsia="仿宋_GB2312" w:cs="仿宋_GB2312"/>
          <w:kern w:val="0"/>
          <w:sz w:val="32"/>
          <w:szCs w:val="32"/>
        </w:rPr>
        <w:t xml:space="preserve">  本办法由连云港市</w:t>
      </w:r>
      <w:bookmarkStart w:id="0" w:name="_GoBack"/>
      <w:r>
        <w:rPr>
          <w:rFonts w:hint="eastAsia" w:ascii="仿宋_GB2312" w:hAnsi="仿宋_GB2312" w:eastAsia="仿宋_GB2312" w:cs="仿宋_GB2312"/>
          <w:kern w:val="0"/>
          <w:sz w:val="32"/>
          <w:szCs w:val="32"/>
        </w:rPr>
        <w:t>住房</w:t>
      </w:r>
      <w:bookmarkEnd w:id="0"/>
      <w:r>
        <w:rPr>
          <w:rFonts w:hint="eastAsia" w:ascii="仿宋_GB2312" w:hAnsi="仿宋_GB2312" w:eastAsia="仿宋_GB2312" w:cs="仿宋_GB2312"/>
          <w:kern w:val="0"/>
          <w:sz w:val="32"/>
          <w:szCs w:val="32"/>
        </w:rPr>
        <w:t>和</w:t>
      </w:r>
      <w:r>
        <w:rPr>
          <w:rFonts w:hint="eastAsia" w:ascii="仿宋_GB2312" w:hAnsi="仿宋_GB2312" w:eastAsia="仿宋_GB2312" w:cs="仿宋_GB2312"/>
          <w:kern w:val="0"/>
          <w:sz w:val="32"/>
          <w:szCs w:val="32"/>
          <w:lang w:eastAsia="zh-CN"/>
        </w:rPr>
        <w:t>城乡建设</w:t>
      </w:r>
      <w:r>
        <w:rPr>
          <w:rFonts w:hint="eastAsia" w:ascii="仿宋_GB2312" w:hAnsi="仿宋_GB2312" w:eastAsia="仿宋_GB2312" w:cs="仿宋_GB2312"/>
          <w:kern w:val="0"/>
          <w:sz w:val="32"/>
          <w:szCs w:val="32"/>
        </w:rPr>
        <w:t>局负责解释。</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第三十条</w:t>
      </w:r>
      <w:r>
        <w:rPr>
          <w:rFonts w:hint="eastAsia" w:ascii="仿宋_GB2312" w:hAnsi="仿宋_GB2312" w:eastAsia="仿宋_GB2312" w:cs="仿宋_GB2312"/>
          <w:kern w:val="0"/>
          <w:sz w:val="32"/>
          <w:szCs w:val="32"/>
        </w:rPr>
        <w:t xml:space="preserve">  法律、法规对信用信息管理另有规定的，从其规定。</w:t>
      </w:r>
    </w:p>
    <w:p>
      <w:pPr>
        <w:widowControl/>
        <w:adjustRightInd w:val="0"/>
        <w:snapToGrid w:val="0"/>
        <w:spacing w:line="300" w:lineRule="auto"/>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第三十一条</w:t>
      </w:r>
      <w:r>
        <w:rPr>
          <w:rFonts w:hint="eastAsia" w:ascii="仿宋_GB2312" w:hAnsi="仿宋_GB2312" w:eastAsia="仿宋_GB2312" w:cs="仿宋_GB2312"/>
          <w:kern w:val="0"/>
          <w:sz w:val="32"/>
          <w:szCs w:val="32"/>
        </w:rPr>
        <w:t xml:space="preserve">  本办法自公布起实施，有效期一年。有效期满后，根据实施情况依法评估修订。</w:t>
      </w:r>
    </w:p>
    <w:p/>
    <w:p>
      <w:pPr>
        <w:widowControl/>
        <w:jc w:val="left"/>
        <w:rPr>
          <w:rFonts w:ascii="方正小标宋简体" w:hAnsi="方正小标宋简体" w:eastAsia="方正小标宋简体" w:cs="方正小标宋简体"/>
          <w:sz w:val="32"/>
          <w:szCs w:val="32"/>
        </w:rPr>
      </w:pPr>
      <w:r>
        <w:rPr>
          <w:rFonts w:ascii="方正小标宋简体" w:hAnsi="方正小标宋简体" w:eastAsia="方正小标宋简体" w:cs="方正小标宋简体"/>
          <w:sz w:val="32"/>
          <w:szCs w:val="32"/>
        </w:rPr>
        <w:br w:type="page"/>
      </w:r>
    </w:p>
    <w:p>
      <w:pPr>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连云港市物业项目负责人信用等级评价评分标准</w:t>
      </w:r>
    </w:p>
    <w:tbl>
      <w:tblPr>
        <w:tblStyle w:val="4"/>
        <w:tblW w:w="1039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8"/>
        <w:gridCol w:w="989"/>
        <w:gridCol w:w="538"/>
        <w:gridCol w:w="5755"/>
        <w:gridCol w:w="1214"/>
        <w:gridCol w:w="1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jc w:val="center"/>
        </w:trPr>
        <w:tc>
          <w:tcPr>
            <w:tcW w:w="54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项</w:t>
            </w:r>
          </w:p>
          <w:p>
            <w:pPr>
              <w:jc w:val="center"/>
              <w:rPr>
                <w:rFonts w:asciiTheme="minorEastAsia" w:hAnsiTheme="minorEastAsia" w:cstheme="minorEastAsia"/>
                <w:szCs w:val="21"/>
              </w:rPr>
            </w:pPr>
            <w:r>
              <w:rPr>
                <w:rFonts w:hint="eastAsia" w:asciiTheme="minorEastAsia" w:hAnsiTheme="minorEastAsia" w:cstheme="minorEastAsia"/>
                <w:szCs w:val="21"/>
              </w:rPr>
              <w:t>目</w:t>
            </w:r>
          </w:p>
        </w:tc>
        <w:tc>
          <w:tcPr>
            <w:tcW w:w="989"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类别</w:t>
            </w: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序</w:t>
            </w:r>
          </w:p>
          <w:p>
            <w:pPr>
              <w:jc w:val="center"/>
              <w:rPr>
                <w:rFonts w:asciiTheme="minorEastAsia" w:hAnsiTheme="minorEastAsia" w:cstheme="minorEastAsia"/>
                <w:szCs w:val="21"/>
              </w:rPr>
            </w:pPr>
            <w:r>
              <w:rPr>
                <w:rFonts w:hint="eastAsia" w:asciiTheme="minorEastAsia" w:hAnsiTheme="minorEastAsia" w:cstheme="minorEastAsia"/>
                <w:szCs w:val="21"/>
              </w:rPr>
              <w:t>号</w:t>
            </w:r>
          </w:p>
        </w:tc>
        <w:tc>
          <w:tcPr>
            <w:tcW w:w="5755" w:type="dxa"/>
            <w:vAlign w:val="center"/>
          </w:tcPr>
          <w:p>
            <w:pPr>
              <w:jc w:val="center"/>
              <w:rPr>
                <w:rFonts w:asciiTheme="minorEastAsia" w:hAnsiTheme="minorEastAsia" w:cstheme="minorEastAsia"/>
                <w:szCs w:val="21"/>
              </w:rPr>
            </w:pPr>
          </w:p>
          <w:p>
            <w:pPr>
              <w:jc w:val="center"/>
              <w:rPr>
                <w:rFonts w:asciiTheme="minorEastAsia" w:hAnsiTheme="minorEastAsia" w:cstheme="minorEastAsia"/>
                <w:szCs w:val="21"/>
              </w:rPr>
            </w:pPr>
            <w:r>
              <w:rPr>
                <w:rFonts w:hint="eastAsia" w:asciiTheme="minorEastAsia" w:hAnsiTheme="minorEastAsia" w:cstheme="minorEastAsia"/>
                <w:szCs w:val="21"/>
              </w:rPr>
              <w:t>内    容</w:t>
            </w:r>
          </w:p>
        </w:tc>
        <w:tc>
          <w:tcPr>
            <w:tcW w:w="1214"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记分值</w:t>
            </w:r>
          </w:p>
        </w:tc>
        <w:tc>
          <w:tcPr>
            <w:tcW w:w="1350"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2" w:hRule="exact"/>
          <w:jc w:val="center"/>
        </w:trPr>
        <w:tc>
          <w:tcPr>
            <w:tcW w:w="548" w:type="dxa"/>
            <w:vMerge w:val="restart"/>
            <w:vAlign w:val="center"/>
          </w:tcPr>
          <w:p>
            <w:pPr>
              <w:rPr>
                <w:rFonts w:asciiTheme="minorEastAsia" w:hAnsiTheme="minorEastAsia" w:cstheme="minorEastAsia"/>
                <w:szCs w:val="21"/>
              </w:rPr>
            </w:pPr>
          </w:p>
          <w:p>
            <w:pPr>
              <w:rPr>
                <w:rFonts w:asciiTheme="minorEastAsia" w:hAnsiTheme="minorEastAsia" w:cstheme="minorEastAsia"/>
                <w:szCs w:val="21"/>
              </w:rPr>
            </w:pPr>
            <w:r>
              <w:rPr>
                <w:rFonts w:hint="eastAsia" w:asciiTheme="minorEastAsia" w:hAnsiTheme="minorEastAsia" w:cstheme="minorEastAsia"/>
                <w:szCs w:val="21"/>
              </w:rPr>
              <w:t>基本信息</w:t>
            </w:r>
          </w:p>
        </w:tc>
        <w:tc>
          <w:tcPr>
            <w:tcW w:w="989" w:type="dxa"/>
            <w:vAlign w:val="center"/>
          </w:tcPr>
          <w:p>
            <w:pPr>
              <w:rPr>
                <w:rFonts w:asciiTheme="minorEastAsia" w:hAnsiTheme="minorEastAsia" w:cstheme="minorEastAsia"/>
                <w:szCs w:val="21"/>
              </w:rPr>
            </w:pPr>
            <w:r>
              <w:rPr>
                <w:rFonts w:hint="eastAsia" w:asciiTheme="minorEastAsia" w:hAnsiTheme="minorEastAsia" w:cstheme="minorEastAsia"/>
                <w:szCs w:val="21"/>
              </w:rPr>
              <w:t>基础分</w:t>
            </w: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1</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智慧物业网上填报项目负责人信息完整</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100分</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548" w:type="dxa"/>
            <w:vMerge w:val="continue"/>
            <w:vAlign w:val="center"/>
          </w:tcPr>
          <w:p>
            <w:pPr>
              <w:rPr>
                <w:rFonts w:asciiTheme="minorEastAsia" w:hAnsiTheme="minorEastAsia" w:cstheme="minorEastAsia"/>
                <w:szCs w:val="21"/>
              </w:rPr>
            </w:pPr>
          </w:p>
        </w:tc>
        <w:tc>
          <w:tcPr>
            <w:tcW w:w="989" w:type="dxa"/>
            <w:vAlign w:val="center"/>
          </w:tcPr>
          <w:p>
            <w:pPr>
              <w:rPr>
                <w:rFonts w:asciiTheme="minorEastAsia" w:hAnsiTheme="minorEastAsia" w:cstheme="minorEastAsia"/>
                <w:szCs w:val="21"/>
              </w:rPr>
            </w:pPr>
            <w:r>
              <w:rPr>
                <w:rFonts w:hint="eastAsia" w:asciiTheme="minorEastAsia" w:hAnsiTheme="minorEastAsia" w:cstheme="minorEastAsia"/>
                <w:szCs w:val="21"/>
              </w:rPr>
              <w:t>经历分</w:t>
            </w: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2</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任职物业项目负责人时间</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0.5分/年</w:t>
            </w:r>
          </w:p>
        </w:tc>
        <w:tc>
          <w:tcPr>
            <w:tcW w:w="1350" w:type="dxa"/>
            <w:vAlign w:val="center"/>
          </w:tcPr>
          <w:p>
            <w:pPr>
              <w:rPr>
                <w:rFonts w:asciiTheme="minorEastAsia" w:hAnsiTheme="minorEastAsia" w:cstheme="minorEastAsia"/>
                <w:szCs w:val="21"/>
              </w:rPr>
            </w:pPr>
            <w:r>
              <w:rPr>
                <w:rFonts w:hint="eastAsia" w:asciiTheme="minorEastAsia" w:hAnsiTheme="minorEastAsia" w:cstheme="minorEastAsia"/>
                <w:szCs w:val="21"/>
              </w:rPr>
              <w:t>最高记5分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20" w:hRule="exact"/>
          <w:jc w:val="center"/>
        </w:trPr>
        <w:tc>
          <w:tcPr>
            <w:tcW w:w="548" w:type="dxa"/>
            <w:vMerge w:val="continue"/>
            <w:vAlign w:val="center"/>
          </w:tcPr>
          <w:p>
            <w:pPr>
              <w:rPr>
                <w:rFonts w:asciiTheme="minorEastAsia" w:hAnsiTheme="minorEastAsia" w:cstheme="minorEastAsia"/>
                <w:szCs w:val="21"/>
              </w:rPr>
            </w:pPr>
          </w:p>
        </w:tc>
        <w:tc>
          <w:tcPr>
            <w:tcW w:w="989" w:type="dxa"/>
            <w:vAlign w:val="center"/>
          </w:tcPr>
          <w:p>
            <w:pPr>
              <w:rPr>
                <w:rFonts w:asciiTheme="minorEastAsia" w:hAnsiTheme="minorEastAsia" w:cstheme="minorEastAsia"/>
                <w:szCs w:val="21"/>
              </w:rPr>
            </w:pPr>
            <w:r>
              <w:rPr>
                <w:rFonts w:hint="eastAsia" w:asciiTheme="minorEastAsia" w:hAnsiTheme="minorEastAsia" w:cstheme="minorEastAsia"/>
                <w:szCs w:val="21"/>
              </w:rPr>
              <w:t>业绩分</w:t>
            </w: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3</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在管住宅物业项目面积</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住宅0.3分/1万平方米</w:t>
            </w:r>
          </w:p>
          <w:p>
            <w:pPr>
              <w:rPr>
                <w:rFonts w:asciiTheme="minorEastAsia" w:hAnsiTheme="minorEastAsia" w:cstheme="minorEastAsia"/>
                <w:szCs w:val="21"/>
              </w:rPr>
            </w:pPr>
          </w:p>
        </w:tc>
        <w:tc>
          <w:tcPr>
            <w:tcW w:w="1350" w:type="dxa"/>
            <w:vAlign w:val="center"/>
          </w:tcPr>
          <w:p>
            <w:pPr>
              <w:rPr>
                <w:rFonts w:asciiTheme="minorEastAsia" w:hAnsiTheme="minorEastAsia" w:cstheme="minorEastAsia"/>
                <w:szCs w:val="21"/>
              </w:rPr>
            </w:pPr>
            <w:r>
              <w:rPr>
                <w:rFonts w:hint="eastAsia" w:asciiTheme="minorEastAsia" w:hAnsiTheme="minorEastAsia" w:cstheme="minorEastAsia"/>
                <w:szCs w:val="21"/>
              </w:rPr>
              <w:t>最高记5分，可按面积记小数点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8" w:hRule="exact"/>
          <w:jc w:val="center"/>
        </w:trPr>
        <w:tc>
          <w:tcPr>
            <w:tcW w:w="548" w:type="dxa"/>
            <w:vMerge w:val="restart"/>
            <w:vAlign w:val="center"/>
          </w:tcPr>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r>
              <w:rPr>
                <w:rFonts w:hint="eastAsia" w:asciiTheme="minorEastAsia" w:hAnsiTheme="minorEastAsia" w:cstheme="minorEastAsia"/>
                <w:szCs w:val="21"/>
              </w:rPr>
              <w:t>良好信用信息</w:t>
            </w:r>
          </w:p>
        </w:tc>
        <w:tc>
          <w:tcPr>
            <w:tcW w:w="989" w:type="dxa"/>
            <w:vMerge w:val="restart"/>
            <w:vAlign w:val="center"/>
          </w:tcPr>
          <w:p>
            <w:pPr>
              <w:rPr>
                <w:rFonts w:asciiTheme="minorEastAsia" w:hAnsiTheme="minorEastAsia" w:cstheme="minorEastAsia"/>
                <w:szCs w:val="21"/>
              </w:rPr>
            </w:pPr>
          </w:p>
          <w:p>
            <w:pPr>
              <w:rPr>
                <w:rFonts w:asciiTheme="minorEastAsia" w:hAnsiTheme="minorEastAsia" w:cstheme="minorEastAsia"/>
                <w:szCs w:val="21"/>
              </w:rPr>
            </w:pPr>
            <w:r>
              <w:rPr>
                <w:rFonts w:hint="eastAsia" w:asciiTheme="minorEastAsia" w:hAnsiTheme="minorEastAsia" w:cstheme="minorEastAsia"/>
                <w:szCs w:val="21"/>
              </w:rPr>
              <w:t>社会</w:t>
            </w:r>
          </w:p>
          <w:p>
            <w:pPr>
              <w:rPr>
                <w:rFonts w:asciiTheme="minorEastAsia" w:hAnsiTheme="minorEastAsia" w:cstheme="minorEastAsia"/>
                <w:szCs w:val="21"/>
              </w:rPr>
            </w:pPr>
            <w:r>
              <w:rPr>
                <w:rFonts w:hint="eastAsia" w:asciiTheme="minorEastAsia" w:hAnsiTheme="minorEastAsia" w:cstheme="minorEastAsia"/>
                <w:szCs w:val="21"/>
              </w:rPr>
              <w:t>公益</w:t>
            </w: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4</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项目参与慈善救助、社会公益捐赠（伍仟元以上计入有效次数）</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1分/次</w:t>
            </w:r>
          </w:p>
        </w:tc>
        <w:tc>
          <w:tcPr>
            <w:tcW w:w="1350" w:type="dxa"/>
            <w:vAlign w:val="center"/>
          </w:tcPr>
          <w:p>
            <w:pPr>
              <w:rPr>
                <w:rFonts w:asciiTheme="minorEastAsia" w:hAnsiTheme="minorEastAsia" w:cstheme="minorEastAsia"/>
                <w:szCs w:val="21"/>
              </w:rPr>
            </w:pPr>
            <w:r>
              <w:rPr>
                <w:rFonts w:hint="eastAsia" w:asciiTheme="minorEastAsia" w:hAnsiTheme="minorEastAsia" w:cstheme="minorEastAsia"/>
                <w:szCs w:val="21"/>
              </w:rPr>
              <w:t>最高记2分(有效期一年）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8"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5</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积极参加各级物业行政主管部门、街道办事处（乡镇人民政府）、社区居民委员会、市物业协会等组织的各类社会活动，成绩突出的（有效期三年）</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1分/次</w:t>
            </w:r>
          </w:p>
        </w:tc>
        <w:tc>
          <w:tcPr>
            <w:tcW w:w="1350" w:type="dxa"/>
            <w:vAlign w:val="center"/>
          </w:tcPr>
          <w:p>
            <w:pPr>
              <w:rPr>
                <w:rFonts w:asciiTheme="minorEastAsia" w:hAnsiTheme="minorEastAsia" w:cstheme="minorEastAsia"/>
                <w:szCs w:val="21"/>
              </w:rPr>
            </w:pPr>
            <w:r>
              <w:rPr>
                <w:rFonts w:hint="eastAsia" w:asciiTheme="minorEastAsia" w:hAnsiTheme="minorEastAsia" w:cstheme="minorEastAsia"/>
                <w:szCs w:val="21"/>
              </w:rPr>
              <w:t>年度最高不超过4分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jc w:val="center"/>
        </w:trPr>
        <w:tc>
          <w:tcPr>
            <w:tcW w:w="548" w:type="dxa"/>
            <w:vMerge w:val="continue"/>
            <w:vAlign w:val="center"/>
          </w:tcPr>
          <w:p>
            <w:pPr>
              <w:rPr>
                <w:rFonts w:asciiTheme="minorEastAsia" w:hAnsiTheme="minorEastAsia" w:cstheme="minorEastAsia"/>
                <w:szCs w:val="21"/>
              </w:rPr>
            </w:pPr>
          </w:p>
        </w:tc>
        <w:tc>
          <w:tcPr>
            <w:tcW w:w="989" w:type="dxa"/>
            <w:vMerge w:val="restart"/>
            <w:vAlign w:val="center"/>
          </w:tcPr>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r>
              <w:rPr>
                <w:rFonts w:hint="eastAsia" w:asciiTheme="minorEastAsia" w:hAnsiTheme="minorEastAsia" w:cstheme="minorEastAsia"/>
                <w:szCs w:val="21"/>
              </w:rPr>
              <w:t>个人或项目员工获得的荣誉称号</w:t>
            </w: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6</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获国家行政机关表彰或荣誉（有效期三年）</w:t>
            </w:r>
          </w:p>
          <w:p>
            <w:pPr>
              <w:rPr>
                <w:rFonts w:asciiTheme="minorEastAsia" w:hAnsiTheme="minorEastAsia" w:cstheme="minorEastAsia"/>
                <w:szCs w:val="21"/>
              </w:rPr>
            </w:pP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6分</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7</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获江苏省省级行政机关表彰或荣誉（有效期三年）</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5分</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9"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8</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获连云港市市级行政机关、市住房行业党委表彰或荣誉（有效期三年）</w:t>
            </w:r>
          </w:p>
          <w:p>
            <w:pPr>
              <w:rPr>
                <w:rFonts w:asciiTheme="minorEastAsia" w:hAnsiTheme="minorEastAsia" w:cstheme="minorEastAsia"/>
                <w:szCs w:val="21"/>
              </w:rPr>
            </w:pP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4分</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9</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获连云港县区级行政机关表彰或荣誉（有效期三年）</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2分</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10</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获中国物业管理协会表彰或荣誉（有效期三年）</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4分</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11</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获江苏省房地产业协会表彰或荣誉（有效期三年）</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3分</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12</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获连云港市物业管理协会表彰或荣誉（有效期三年）</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1分</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exact"/>
          <w:jc w:val="center"/>
        </w:trPr>
        <w:tc>
          <w:tcPr>
            <w:tcW w:w="548" w:type="dxa"/>
            <w:vMerge w:val="continue"/>
            <w:vAlign w:val="center"/>
          </w:tcPr>
          <w:p>
            <w:pPr>
              <w:rPr>
                <w:rFonts w:asciiTheme="minorEastAsia" w:hAnsiTheme="minorEastAsia" w:cstheme="minorEastAsia"/>
                <w:szCs w:val="21"/>
              </w:rPr>
            </w:pPr>
          </w:p>
        </w:tc>
        <w:tc>
          <w:tcPr>
            <w:tcW w:w="989" w:type="dxa"/>
            <w:vMerge w:val="restart"/>
            <w:vAlign w:val="center"/>
          </w:tcPr>
          <w:p>
            <w:pPr>
              <w:rPr>
                <w:rFonts w:asciiTheme="minorEastAsia" w:hAnsiTheme="minorEastAsia" w:cstheme="minorEastAsia"/>
                <w:szCs w:val="21"/>
              </w:rPr>
            </w:pPr>
          </w:p>
          <w:p>
            <w:pPr>
              <w:rPr>
                <w:rFonts w:asciiTheme="minorEastAsia" w:hAnsiTheme="minorEastAsia" w:cstheme="minorEastAsia"/>
                <w:szCs w:val="21"/>
              </w:rPr>
            </w:pPr>
            <w:r>
              <w:rPr>
                <w:rFonts w:hint="eastAsia" w:asciiTheme="minorEastAsia" w:hAnsiTheme="minorEastAsia" w:cstheme="minorEastAsia"/>
                <w:szCs w:val="21"/>
              </w:rPr>
              <w:t>项目获得的荣誉称号</w:t>
            </w: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13</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获国家级物业管理示范项目的（有效期三年）</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9分/个</w:t>
            </w:r>
          </w:p>
        </w:tc>
        <w:tc>
          <w:tcPr>
            <w:tcW w:w="1350" w:type="dxa"/>
            <w:vMerge w:val="restart"/>
            <w:vAlign w:val="center"/>
          </w:tcPr>
          <w:p>
            <w:pPr>
              <w:rPr>
                <w:rFonts w:asciiTheme="minorEastAsia" w:hAnsiTheme="minorEastAsia" w:cstheme="minorEastAsia"/>
                <w:szCs w:val="21"/>
              </w:rPr>
            </w:pPr>
            <w:r>
              <w:rPr>
                <w:rFonts w:hint="eastAsia" w:asciiTheme="minorEastAsia" w:hAnsiTheme="minorEastAsia" w:cstheme="minorEastAsia"/>
                <w:szCs w:val="21"/>
              </w:rPr>
              <w:t>按最高荣誉只计算一次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2"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14</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获省级物业管理示范项目的（有效期三年）</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7分/个</w:t>
            </w:r>
          </w:p>
        </w:tc>
        <w:tc>
          <w:tcPr>
            <w:tcW w:w="1350" w:type="dxa"/>
            <w:vMerge w:val="continue"/>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15</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获市级物业管理示范项目的（有效期三年）</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5分/个</w:t>
            </w:r>
          </w:p>
        </w:tc>
        <w:tc>
          <w:tcPr>
            <w:tcW w:w="1350" w:type="dxa"/>
            <w:vMerge w:val="continue"/>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3" w:hRule="exact"/>
          <w:jc w:val="center"/>
        </w:trPr>
        <w:tc>
          <w:tcPr>
            <w:tcW w:w="548" w:type="dxa"/>
            <w:vMerge w:val="continue"/>
            <w:vAlign w:val="center"/>
          </w:tcPr>
          <w:p>
            <w:pPr>
              <w:rPr>
                <w:rFonts w:asciiTheme="minorEastAsia" w:hAnsiTheme="minorEastAsia" w:cstheme="minorEastAsia"/>
                <w:szCs w:val="21"/>
              </w:rPr>
            </w:pPr>
          </w:p>
        </w:tc>
        <w:tc>
          <w:tcPr>
            <w:tcW w:w="989" w:type="dxa"/>
            <w:vMerge w:val="restart"/>
            <w:vAlign w:val="center"/>
          </w:tcPr>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r>
              <w:rPr>
                <w:rFonts w:hint="eastAsia" w:asciiTheme="minorEastAsia" w:hAnsiTheme="minorEastAsia" w:cstheme="minorEastAsia"/>
                <w:szCs w:val="21"/>
              </w:rPr>
              <w:t>媒体宣传报道</w:t>
            </w: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16</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项目先进典型或优秀行为被国家级官方新闻媒体宣传报道，对物业服务行业发展具有正面、积极意义的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4分</w:t>
            </w:r>
          </w:p>
        </w:tc>
        <w:tc>
          <w:tcPr>
            <w:tcW w:w="1350" w:type="dxa"/>
            <w:vMerge w:val="restart"/>
            <w:vAlign w:val="center"/>
          </w:tcPr>
          <w:p>
            <w:pPr>
              <w:rPr>
                <w:rFonts w:asciiTheme="minorEastAsia" w:hAnsiTheme="minorEastAsia" w:cstheme="minorEastAsia"/>
                <w:szCs w:val="21"/>
              </w:rPr>
            </w:pPr>
            <w:r>
              <w:rPr>
                <w:rFonts w:hint="eastAsia" w:asciiTheme="minorEastAsia" w:hAnsiTheme="minorEastAsia" w:cstheme="minorEastAsia"/>
                <w:szCs w:val="21"/>
              </w:rPr>
              <w:t>同一先进典型被各级新闻媒体报道的，以最高加分计算，不重复累计。稿件采用可累计。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17</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项目先进典型或优秀行为被省级官方新闻媒体宣传报道，对物业服务行业发展具有正面、积极意义的</w:t>
            </w:r>
          </w:p>
          <w:p>
            <w:pPr>
              <w:rPr>
                <w:rFonts w:asciiTheme="minorEastAsia" w:hAnsiTheme="minorEastAsia" w:cstheme="minorEastAsia"/>
                <w:szCs w:val="21"/>
              </w:rPr>
            </w:pP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3分</w:t>
            </w:r>
          </w:p>
        </w:tc>
        <w:tc>
          <w:tcPr>
            <w:tcW w:w="1350" w:type="dxa"/>
            <w:vMerge w:val="continue"/>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1"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18</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项目先进典型、优秀物业服务行为被市级官方新闻媒体宣传报道或有3篇企业（小区）活动稿件被市智慧物业网采用的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1分（年度最高记3分）</w:t>
            </w:r>
          </w:p>
        </w:tc>
        <w:tc>
          <w:tcPr>
            <w:tcW w:w="1350" w:type="dxa"/>
            <w:vMerge w:val="continue"/>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9" w:hRule="exact"/>
          <w:jc w:val="center"/>
        </w:trPr>
        <w:tc>
          <w:tcPr>
            <w:tcW w:w="548" w:type="dxa"/>
            <w:vMerge w:val="continue"/>
            <w:vAlign w:val="center"/>
          </w:tcPr>
          <w:p>
            <w:pPr>
              <w:rPr>
                <w:rFonts w:asciiTheme="minorEastAsia" w:hAnsiTheme="minorEastAsia" w:cstheme="minorEastAsia"/>
                <w:szCs w:val="21"/>
              </w:rPr>
            </w:pPr>
          </w:p>
        </w:tc>
        <w:tc>
          <w:tcPr>
            <w:tcW w:w="989" w:type="dxa"/>
            <w:vMerge w:val="restart"/>
            <w:vAlign w:val="center"/>
          </w:tcPr>
          <w:p>
            <w:pPr>
              <w:rPr>
                <w:rFonts w:asciiTheme="minorEastAsia" w:hAnsiTheme="minorEastAsia" w:cstheme="minorEastAsia"/>
                <w:szCs w:val="21"/>
              </w:rPr>
            </w:pPr>
            <w:r>
              <w:rPr>
                <w:rFonts w:hint="eastAsia" w:asciiTheme="minorEastAsia" w:hAnsiTheme="minorEastAsia" w:cstheme="minorEastAsia"/>
                <w:szCs w:val="21"/>
              </w:rPr>
              <w:t>落实重点工作</w:t>
            </w: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19</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本人或项目员工在党建工作中积极开展活动,成绩突出受到表彰的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2分（或按文件执行加分）</w:t>
            </w:r>
          </w:p>
        </w:tc>
        <w:tc>
          <w:tcPr>
            <w:tcW w:w="1350" w:type="dxa"/>
            <w:vAlign w:val="center"/>
          </w:tcPr>
          <w:p>
            <w:pPr>
              <w:rPr>
                <w:rFonts w:asciiTheme="minorEastAsia" w:hAnsiTheme="minorEastAsia" w:cstheme="minorEastAsia"/>
                <w:szCs w:val="21"/>
              </w:rPr>
            </w:pPr>
            <w:r>
              <w:rPr>
                <w:rFonts w:hint="eastAsia" w:asciiTheme="minorEastAsia" w:hAnsiTheme="minorEastAsia" w:cstheme="minorEastAsia"/>
                <w:szCs w:val="21"/>
              </w:rPr>
              <w:t>专项考核后记分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4"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20</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项目属保障性住房小区或按照市级部门书面意见为老旧住宅小区提供物业服务（应为列入市整治项目名单的小区）</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1分</w:t>
            </w:r>
          </w:p>
        </w:tc>
        <w:tc>
          <w:tcPr>
            <w:tcW w:w="1350" w:type="dxa"/>
            <w:vAlign w:val="center"/>
          </w:tcPr>
          <w:p>
            <w:pPr>
              <w:rPr>
                <w:rFonts w:asciiTheme="minorEastAsia" w:hAnsiTheme="minorEastAsia" w:cstheme="minorEastAsia"/>
                <w:szCs w:val="21"/>
              </w:rPr>
            </w:pPr>
            <w:r>
              <w:rPr>
                <w:rFonts w:hint="eastAsia" w:asciiTheme="minorEastAsia" w:hAnsiTheme="minorEastAsia" w:cstheme="minorEastAsia"/>
                <w:szCs w:val="21"/>
              </w:rPr>
              <w:t>累计最高2分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4"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21</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项目积极执行或配合落实市级行政主管部门布置的各项工作，受到通报表彰的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按文件执行加分</w:t>
            </w:r>
          </w:p>
        </w:tc>
        <w:tc>
          <w:tcPr>
            <w:tcW w:w="1350" w:type="dxa"/>
            <w:vAlign w:val="center"/>
          </w:tcPr>
          <w:p>
            <w:pPr>
              <w:rPr>
                <w:rFonts w:asciiTheme="minorEastAsia" w:hAnsiTheme="minorEastAsia" w:cstheme="minorEastAsia"/>
                <w:szCs w:val="21"/>
              </w:rPr>
            </w:pPr>
            <w:r>
              <w:rPr>
                <w:rFonts w:hint="eastAsia" w:asciiTheme="minorEastAsia" w:hAnsiTheme="minorEastAsia" w:cstheme="minorEastAsia"/>
                <w:szCs w:val="21"/>
              </w:rPr>
              <w:t>每次最高不超4分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0"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22</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项目积极执行或配合落实县（区）行政主管部门布置的各项工作任务，受到通报表彰的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按文件执行加分</w:t>
            </w:r>
          </w:p>
        </w:tc>
        <w:tc>
          <w:tcPr>
            <w:tcW w:w="1350" w:type="dxa"/>
            <w:vAlign w:val="center"/>
          </w:tcPr>
          <w:p>
            <w:pPr>
              <w:rPr>
                <w:rFonts w:asciiTheme="minorEastAsia" w:hAnsiTheme="minorEastAsia" w:cstheme="minorEastAsia"/>
                <w:szCs w:val="21"/>
              </w:rPr>
            </w:pPr>
            <w:r>
              <w:rPr>
                <w:rFonts w:hint="eastAsia" w:asciiTheme="minorEastAsia" w:hAnsiTheme="minorEastAsia" w:cstheme="minorEastAsia"/>
                <w:szCs w:val="21"/>
              </w:rPr>
              <w:t>每次最高不超2分，年度最高不超4分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4"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23</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本人或项目员工积极参加市物业行业协会组织的活动，表现突出受到表彰的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按文件执行加分</w:t>
            </w:r>
          </w:p>
        </w:tc>
        <w:tc>
          <w:tcPr>
            <w:tcW w:w="1350" w:type="dxa"/>
            <w:vAlign w:val="center"/>
          </w:tcPr>
          <w:p>
            <w:pPr>
              <w:rPr>
                <w:rFonts w:asciiTheme="minorEastAsia" w:hAnsiTheme="minorEastAsia" w:cstheme="minorEastAsia"/>
                <w:szCs w:val="21"/>
              </w:rPr>
            </w:pPr>
            <w:r>
              <w:rPr>
                <w:rFonts w:hint="eastAsia" w:asciiTheme="minorEastAsia" w:hAnsiTheme="minorEastAsia" w:cstheme="minorEastAsia"/>
                <w:szCs w:val="21"/>
              </w:rPr>
              <w:t>每次最高不超2分，年度最高不超3分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9" w:hRule="exact"/>
          <w:jc w:val="center"/>
        </w:trPr>
        <w:tc>
          <w:tcPr>
            <w:tcW w:w="548" w:type="dxa"/>
            <w:vMerge w:val="continue"/>
            <w:vAlign w:val="center"/>
          </w:tcPr>
          <w:p>
            <w:pPr>
              <w:rPr>
                <w:rFonts w:asciiTheme="minorEastAsia" w:hAnsiTheme="minorEastAsia" w:cstheme="minorEastAsia"/>
                <w:szCs w:val="21"/>
              </w:rPr>
            </w:pPr>
          </w:p>
        </w:tc>
        <w:tc>
          <w:tcPr>
            <w:tcW w:w="989" w:type="dxa"/>
            <w:vAlign w:val="center"/>
          </w:tcPr>
          <w:p>
            <w:pPr>
              <w:rPr>
                <w:rFonts w:asciiTheme="minorEastAsia" w:hAnsiTheme="minorEastAsia" w:cstheme="minorEastAsia"/>
                <w:szCs w:val="21"/>
              </w:rPr>
            </w:pPr>
            <w:r>
              <w:rPr>
                <w:rFonts w:hint="eastAsia" w:asciiTheme="minorEastAsia" w:hAnsiTheme="minorEastAsia" w:cstheme="minorEastAsia"/>
                <w:szCs w:val="21"/>
              </w:rPr>
              <w:t>采用新技术、新方法</w:t>
            </w: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24</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项目积极利用智慧网络技术实行物业项目管理及为业主提供服务的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2分/个</w:t>
            </w:r>
          </w:p>
        </w:tc>
        <w:tc>
          <w:tcPr>
            <w:tcW w:w="1350" w:type="dxa"/>
            <w:vAlign w:val="center"/>
          </w:tcPr>
          <w:p>
            <w:pPr>
              <w:rPr>
                <w:rFonts w:asciiTheme="minorEastAsia" w:hAnsiTheme="minorEastAsia" w:cstheme="minorEastAsia"/>
                <w:szCs w:val="21"/>
              </w:rPr>
            </w:pPr>
            <w:r>
              <w:rPr>
                <w:rFonts w:hint="eastAsia" w:asciiTheme="minorEastAsia" w:hAnsiTheme="minorEastAsia" w:cstheme="minorEastAsia"/>
                <w:szCs w:val="21"/>
              </w:rPr>
              <w:t>累计最高不超过3分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7" w:hRule="exact"/>
          <w:jc w:val="center"/>
        </w:trPr>
        <w:tc>
          <w:tcPr>
            <w:tcW w:w="548" w:type="dxa"/>
            <w:vMerge w:val="continue"/>
            <w:vAlign w:val="center"/>
          </w:tcPr>
          <w:p>
            <w:pPr>
              <w:rPr>
                <w:rFonts w:asciiTheme="minorEastAsia" w:hAnsiTheme="minorEastAsia" w:cstheme="minorEastAsia"/>
                <w:szCs w:val="21"/>
              </w:rPr>
            </w:pPr>
          </w:p>
        </w:tc>
        <w:tc>
          <w:tcPr>
            <w:tcW w:w="989" w:type="dxa"/>
            <w:vMerge w:val="restart"/>
            <w:vAlign w:val="center"/>
          </w:tcPr>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r>
              <w:rPr>
                <w:rFonts w:hint="eastAsia" w:asciiTheme="minorEastAsia" w:hAnsiTheme="minorEastAsia" w:cstheme="minorEastAsia"/>
                <w:szCs w:val="21"/>
              </w:rPr>
              <w:t>履行物业服务合同</w:t>
            </w: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25</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项目严格按照物业招投标规定或其他相关规定承接物业</w:t>
            </w:r>
          </w:p>
          <w:p>
            <w:pPr>
              <w:rPr>
                <w:rFonts w:asciiTheme="minorEastAsia" w:hAnsiTheme="minorEastAsia" w:cstheme="minorEastAsia"/>
                <w:szCs w:val="21"/>
              </w:rPr>
            </w:pPr>
            <w:r>
              <w:rPr>
                <w:rFonts w:hint="eastAsia" w:asciiTheme="minorEastAsia" w:hAnsiTheme="minorEastAsia" w:cstheme="minorEastAsia"/>
                <w:szCs w:val="21"/>
              </w:rPr>
              <w:t>服务项目的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2分</w:t>
            </w:r>
          </w:p>
        </w:tc>
        <w:tc>
          <w:tcPr>
            <w:tcW w:w="1350" w:type="dxa"/>
            <w:vAlign w:val="center"/>
          </w:tcPr>
          <w:p>
            <w:pPr>
              <w:rPr>
                <w:rFonts w:asciiTheme="minorEastAsia" w:hAnsiTheme="minorEastAsia" w:cstheme="minorEastAsia"/>
                <w:szCs w:val="21"/>
              </w:rPr>
            </w:pPr>
            <w:r>
              <w:rPr>
                <w:rFonts w:hint="eastAsia" w:asciiTheme="minorEastAsia" w:hAnsiTheme="minorEastAsia" w:cstheme="minorEastAsia"/>
                <w:szCs w:val="21"/>
              </w:rPr>
              <w:t>累计最高不超过3分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3"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26</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项目严格按照相关规定对物业共用部位、共用设施设备开展承接查验活动并报备案，签订有规范化物业服务合同并及时办理备案手续的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4分</w:t>
            </w:r>
          </w:p>
        </w:tc>
        <w:tc>
          <w:tcPr>
            <w:tcW w:w="1350" w:type="dxa"/>
            <w:vAlign w:val="center"/>
          </w:tcPr>
          <w:p>
            <w:pPr>
              <w:rPr>
                <w:rFonts w:asciiTheme="minorEastAsia" w:hAnsiTheme="minorEastAsia" w:cstheme="minorEastAsia"/>
                <w:szCs w:val="21"/>
              </w:rPr>
            </w:pPr>
            <w:r>
              <w:rPr>
                <w:rFonts w:hint="eastAsia" w:asciiTheme="minorEastAsia" w:hAnsiTheme="minorEastAsia" w:cstheme="minorEastAsia"/>
                <w:szCs w:val="21"/>
              </w:rPr>
              <w:t>累计最高不超过6分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1"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27</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项目按相关规定在小区显著位置公示物业服务合同、服务等级、服务标准、收费项目及标准、公摊费用及公共收益收支情况的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3分</w:t>
            </w:r>
          </w:p>
        </w:tc>
        <w:tc>
          <w:tcPr>
            <w:tcW w:w="1350" w:type="dxa"/>
            <w:vAlign w:val="center"/>
          </w:tcPr>
          <w:p>
            <w:pPr>
              <w:rPr>
                <w:rFonts w:asciiTheme="minorEastAsia" w:hAnsiTheme="minorEastAsia" w:cstheme="minorEastAsia"/>
                <w:szCs w:val="21"/>
              </w:rPr>
            </w:pPr>
            <w:r>
              <w:rPr>
                <w:rFonts w:hint="eastAsia" w:asciiTheme="minorEastAsia" w:hAnsiTheme="minorEastAsia" w:cstheme="minorEastAsia"/>
                <w:szCs w:val="21"/>
              </w:rPr>
              <w:t>累计最高不超过5分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5"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28</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项目业主信息、设施设备维保、消防演练及报修接处理等档案资料完整的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3分</w:t>
            </w:r>
          </w:p>
        </w:tc>
        <w:tc>
          <w:tcPr>
            <w:tcW w:w="1350" w:type="dxa"/>
            <w:vAlign w:val="center"/>
          </w:tcPr>
          <w:p>
            <w:pPr>
              <w:rPr>
                <w:rFonts w:asciiTheme="minorEastAsia" w:hAnsiTheme="minorEastAsia" w:cstheme="minorEastAsia"/>
                <w:szCs w:val="21"/>
              </w:rPr>
            </w:pPr>
            <w:r>
              <w:rPr>
                <w:rFonts w:hint="eastAsia" w:asciiTheme="minorEastAsia" w:hAnsiTheme="minorEastAsia" w:cstheme="minorEastAsia"/>
                <w:szCs w:val="21"/>
              </w:rPr>
              <w:t>累计最高不超过5分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29</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项目业主年度满意度测评达到90%以上的或第三方评估机构考评服务质量为良好以上等次的</w:t>
            </w:r>
          </w:p>
          <w:p>
            <w:pPr>
              <w:rPr>
                <w:rFonts w:asciiTheme="minorEastAsia" w:hAnsiTheme="minorEastAsia" w:cstheme="minorEastAsia"/>
                <w:szCs w:val="21"/>
              </w:rPr>
            </w:pPr>
          </w:p>
          <w:p>
            <w:pPr>
              <w:rPr>
                <w:rFonts w:asciiTheme="minorEastAsia" w:hAnsiTheme="minorEastAsia" w:cstheme="minorEastAsia"/>
                <w:szCs w:val="21"/>
              </w:rPr>
            </w:pPr>
            <w:r>
              <w:rPr>
                <w:rFonts w:hint="eastAsia" w:asciiTheme="minorEastAsia" w:hAnsiTheme="minorEastAsia" w:cstheme="minorEastAsia"/>
                <w:szCs w:val="21"/>
              </w:rPr>
              <w:t>的的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4分</w:t>
            </w:r>
          </w:p>
        </w:tc>
        <w:tc>
          <w:tcPr>
            <w:tcW w:w="1350" w:type="dxa"/>
            <w:vAlign w:val="center"/>
          </w:tcPr>
          <w:p>
            <w:pPr>
              <w:rPr>
                <w:rFonts w:asciiTheme="minorEastAsia" w:hAnsiTheme="minorEastAsia" w:cstheme="minorEastAsia"/>
                <w:szCs w:val="21"/>
              </w:rPr>
            </w:pPr>
            <w:r>
              <w:rPr>
                <w:rFonts w:hint="eastAsia" w:asciiTheme="minorEastAsia" w:hAnsiTheme="minorEastAsia" w:cstheme="minorEastAsia"/>
                <w:szCs w:val="21"/>
              </w:rPr>
              <w:t>累计最高不超过6分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exact"/>
          <w:jc w:val="center"/>
        </w:trPr>
        <w:tc>
          <w:tcPr>
            <w:tcW w:w="548" w:type="dxa"/>
            <w:vMerge w:val="restart"/>
            <w:vAlign w:val="center"/>
          </w:tcPr>
          <w:p>
            <w:pPr>
              <w:rPr>
                <w:rFonts w:asciiTheme="minorEastAsia" w:hAnsiTheme="minorEastAsia" w:cstheme="minorEastAsia"/>
                <w:szCs w:val="21"/>
              </w:rPr>
            </w:pPr>
            <w:r>
              <w:rPr>
                <w:rFonts w:hint="eastAsia" w:asciiTheme="minorEastAsia" w:hAnsiTheme="minorEastAsia" w:cstheme="minorEastAsia"/>
                <w:szCs w:val="21"/>
              </w:rPr>
              <w:t>不良信用信息</w:t>
            </w: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r>
              <w:rPr>
                <w:rFonts w:hint="eastAsia" w:asciiTheme="minorEastAsia" w:hAnsiTheme="minorEastAsia" w:cstheme="minorEastAsia"/>
                <w:szCs w:val="21"/>
              </w:rPr>
              <w:t>不良信用信息</w:t>
            </w:r>
          </w:p>
        </w:tc>
        <w:tc>
          <w:tcPr>
            <w:tcW w:w="989" w:type="dxa"/>
            <w:vMerge w:val="restart"/>
            <w:vAlign w:val="center"/>
          </w:tcPr>
          <w:p>
            <w:pPr>
              <w:rPr>
                <w:rFonts w:asciiTheme="minorEastAsia" w:hAnsiTheme="minorEastAsia" w:cstheme="minorEastAsia"/>
                <w:szCs w:val="21"/>
              </w:rPr>
            </w:pPr>
          </w:p>
          <w:p>
            <w:pPr>
              <w:rPr>
                <w:rFonts w:asciiTheme="minorEastAsia" w:hAnsiTheme="minorEastAsia" w:cstheme="minorEastAsia"/>
                <w:szCs w:val="21"/>
              </w:rPr>
            </w:pPr>
            <w:r>
              <w:rPr>
                <w:rFonts w:hint="eastAsia" w:asciiTheme="minorEastAsia" w:hAnsiTheme="minorEastAsia" w:cstheme="minorEastAsia"/>
                <w:szCs w:val="21"/>
              </w:rPr>
              <w:t>信访、投诉、新闻监督</w:t>
            </w: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30</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项目未按物业服务合同履约或有不良行为，被业主投诉或通过12345市政府公开热线反映，经查证情况属实的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2分/次</w:t>
            </w:r>
          </w:p>
        </w:tc>
        <w:tc>
          <w:tcPr>
            <w:tcW w:w="1350" w:type="dxa"/>
            <w:vAlign w:val="center"/>
          </w:tcPr>
          <w:p>
            <w:pPr>
              <w:rPr>
                <w:rFonts w:asciiTheme="minorEastAsia" w:hAnsiTheme="minorEastAsia" w:cstheme="minorEastAsia"/>
                <w:szCs w:val="21"/>
              </w:rPr>
            </w:pPr>
            <w:r>
              <w:rPr>
                <w:rFonts w:hint="eastAsia" w:asciiTheme="minorEastAsia" w:hAnsiTheme="minorEastAsia" w:cstheme="minorEastAsia"/>
                <w:szCs w:val="21"/>
              </w:rPr>
              <w:t>累计最高扣5分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8"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31</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项目未按物业服务合同履约，情节严重,造成10人以上集体上访，经查证属实的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2分/次</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6"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32</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项目因物业服务企业原因发生重大责任事故，造成10名以上业主群体上访事件，影响社会稳定，造成严重不良后果的</w:t>
            </w:r>
          </w:p>
          <w:p>
            <w:pPr>
              <w:rPr>
                <w:rFonts w:asciiTheme="minorEastAsia" w:hAnsiTheme="minorEastAsia" w:cstheme="minorEastAsia"/>
                <w:szCs w:val="21"/>
              </w:rPr>
            </w:pP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5分/次</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7"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33</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项目因违约或不良行为被媒体曝光，经查证属实且逾期未整改的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2分/次</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4" w:hRule="exact"/>
          <w:jc w:val="center"/>
        </w:trPr>
        <w:tc>
          <w:tcPr>
            <w:tcW w:w="548" w:type="dxa"/>
            <w:vMerge w:val="continue"/>
            <w:vAlign w:val="center"/>
          </w:tcPr>
          <w:p>
            <w:pPr>
              <w:rPr>
                <w:rFonts w:asciiTheme="minorEastAsia" w:hAnsiTheme="minorEastAsia" w:cstheme="minorEastAsia"/>
                <w:szCs w:val="21"/>
              </w:rPr>
            </w:pPr>
          </w:p>
        </w:tc>
        <w:tc>
          <w:tcPr>
            <w:tcW w:w="989" w:type="dxa"/>
            <w:vMerge w:val="restart"/>
            <w:vAlign w:val="center"/>
          </w:tcPr>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r>
              <w:rPr>
                <w:rFonts w:hint="eastAsia" w:asciiTheme="minorEastAsia" w:hAnsiTheme="minorEastAsia" w:cstheme="minorEastAsia"/>
                <w:szCs w:val="21"/>
              </w:rPr>
              <w:t>行业</w:t>
            </w:r>
          </w:p>
          <w:p>
            <w:pPr>
              <w:rPr>
                <w:rFonts w:asciiTheme="minorEastAsia" w:hAnsiTheme="minorEastAsia" w:cstheme="minorEastAsia"/>
                <w:szCs w:val="21"/>
              </w:rPr>
            </w:pPr>
            <w:r>
              <w:rPr>
                <w:rFonts w:hint="eastAsia" w:asciiTheme="minorEastAsia" w:hAnsiTheme="minorEastAsia" w:cstheme="minorEastAsia"/>
                <w:szCs w:val="21"/>
              </w:rPr>
              <w:t>监管</w:t>
            </w: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34</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项目未按规定及时上报信用信息征集材料或虚报、瞒报、漏报、迟报各类统计信息、信用信息的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2分/件</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35</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项目对电梯、消防等设施设备维保管理不到位且无正当理由整改不到位的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2分/次</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36</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项目对小区违法建设行为，未及时履行劝阻、制止、上报责任或未将相关材料录入日常工作档案的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3分/次</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1"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37</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项目业主年度测评满意率未达到60%或第三方评估机构对项目服务质量考评为差评的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2分/个</w:t>
            </w:r>
          </w:p>
        </w:tc>
        <w:tc>
          <w:tcPr>
            <w:tcW w:w="1350" w:type="dxa"/>
            <w:vAlign w:val="center"/>
          </w:tcPr>
          <w:p>
            <w:pPr>
              <w:rPr>
                <w:rFonts w:asciiTheme="minorEastAsia" w:hAnsiTheme="minorEastAsia" w:cstheme="minorEastAsia"/>
                <w:szCs w:val="21"/>
              </w:rPr>
            </w:pPr>
            <w:r>
              <w:rPr>
                <w:rFonts w:hint="eastAsia" w:asciiTheme="minorEastAsia" w:hAnsiTheme="minorEastAsia" w:cstheme="minorEastAsia"/>
                <w:szCs w:val="21"/>
              </w:rPr>
              <w:t>扣2分，累计计算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5"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38</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项目正当理由未按规定向县（区）物业行政主管部门办理相关备案手续的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1分/次（或按文件规定执行）</w:t>
            </w:r>
          </w:p>
        </w:tc>
        <w:tc>
          <w:tcPr>
            <w:tcW w:w="1350" w:type="dxa"/>
            <w:vAlign w:val="center"/>
          </w:tcPr>
          <w:p>
            <w:pPr>
              <w:rPr>
                <w:rFonts w:asciiTheme="minorEastAsia" w:hAnsiTheme="minorEastAsia" w:cstheme="minorEastAsia"/>
                <w:szCs w:val="21"/>
              </w:rPr>
            </w:pPr>
            <w:r>
              <w:rPr>
                <w:rFonts w:hint="eastAsia" w:asciiTheme="minorEastAsia" w:hAnsiTheme="minorEastAsia" w:cstheme="minorEastAsia"/>
                <w:szCs w:val="21"/>
              </w:rPr>
              <w:t>扣2分，累计计算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7"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39</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不配合各级业行政主管部门开展重点工作或检查、调查等工作的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2分/次（或按文件规定扣分）</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2"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40</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对市、区(县）、园区管委会物业行政主管部门、街道办事处、社区居民委员会在行业检查及监管过程中提出的书面整改意见，在规定期限内整改不到位的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2/次（或按文件规定扣分）</w:t>
            </w:r>
          </w:p>
        </w:tc>
        <w:tc>
          <w:tcPr>
            <w:tcW w:w="1350" w:type="dxa"/>
            <w:vAlign w:val="center"/>
          </w:tcPr>
          <w:p>
            <w:pPr>
              <w:rPr>
                <w:rFonts w:asciiTheme="minorEastAsia" w:hAnsiTheme="minorEastAsia" w:cstheme="minorEastAsia"/>
                <w:szCs w:val="21"/>
              </w:rPr>
            </w:pPr>
            <w:r>
              <w:rPr>
                <w:rFonts w:hint="eastAsia" w:asciiTheme="minorEastAsia" w:hAnsiTheme="minorEastAsia" w:cstheme="minorEastAsia"/>
                <w:szCs w:val="21"/>
              </w:rPr>
              <w:t>每次最高扣分不超2分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2"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41</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各级物业行政主管部门及其他行政机关给予行政处罚的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3分/次</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2"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42</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市级物业主管部门、市住房行业党委文件中确定应予扣分事项</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按文件规定执行扣分</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1" w:hRule="exact"/>
          <w:jc w:val="center"/>
        </w:trPr>
        <w:tc>
          <w:tcPr>
            <w:tcW w:w="548" w:type="dxa"/>
            <w:vMerge w:val="continue"/>
            <w:vAlign w:val="center"/>
          </w:tcPr>
          <w:p>
            <w:pPr>
              <w:rPr>
                <w:rFonts w:asciiTheme="minorEastAsia" w:hAnsiTheme="minorEastAsia" w:cstheme="minorEastAsia"/>
                <w:szCs w:val="21"/>
              </w:rPr>
            </w:pPr>
          </w:p>
        </w:tc>
        <w:tc>
          <w:tcPr>
            <w:tcW w:w="989" w:type="dxa"/>
            <w:vMerge w:val="restart"/>
            <w:vAlign w:val="center"/>
          </w:tcPr>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r>
              <w:rPr>
                <w:rFonts w:hint="eastAsia" w:asciiTheme="minorEastAsia" w:hAnsiTheme="minorEastAsia" w:cstheme="minorEastAsia"/>
                <w:szCs w:val="21"/>
              </w:rPr>
              <w:t>违法</w:t>
            </w:r>
          </w:p>
          <w:p>
            <w:pPr>
              <w:rPr>
                <w:rFonts w:asciiTheme="minorEastAsia" w:hAnsiTheme="minorEastAsia" w:cstheme="minorEastAsia"/>
                <w:szCs w:val="21"/>
              </w:rPr>
            </w:pPr>
            <w:r>
              <w:rPr>
                <w:rFonts w:hint="eastAsia" w:asciiTheme="minorEastAsia" w:hAnsiTheme="minorEastAsia" w:cstheme="minorEastAsia"/>
                <w:szCs w:val="21"/>
              </w:rPr>
              <w:t>违规</w:t>
            </w:r>
          </w:p>
          <w:p>
            <w:pPr>
              <w:rPr>
                <w:rFonts w:asciiTheme="minorEastAsia" w:hAnsiTheme="minorEastAsia" w:cstheme="minorEastAsia"/>
                <w:szCs w:val="21"/>
              </w:rPr>
            </w:pPr>
          </w:p>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43</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违反物业管理招投标相关规定（含程序性规定）承接项目或将中标项目转让给他人的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3分/次</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9"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44</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经市物业行政主管部门和市物业行业协会共同调查认定，采取不正当手段恶意竞争，诋毁同行声誉、损害同行利益的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5分/次</w:t>
            </w:r>
          </w:p>
        </w:tc>
        <w:tc>
          <w:tcPr>
            <w:tcW w:w="1350" w:type="dxa"/>
            <w:vAlign w:val="center"/>
          </w:tcPr>
          <w:p>
            <w:pPr>
              <w:rPr>
                <w:rFonts w:asciiTheme="minorEastAsia" w:hAnsiTheme="minorEastAsia" w:cstheme="minorEastAsia"/>
                <w:szCs w:val="21"/>
              </w:rPr>
            </w:pPr>
            <w:r>
              <w:rPr>
                <w:rFonts w:hint="eastAsia" w:asciiTheme="minorEastAsia" w:hAnsiTheme="minorEastAsia" w:cstheme="minorEastAsia"/>
                <w:szCs w:val="21"/>
              </w:rPr>
              <w:t>同时约谈责任人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45</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扰乱物业服务市场秩序等违规行为的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5分/次</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5"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46</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擅自占用、挖掘物业管理区域内道路、场地，损害业主共同利益的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5分/次</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2" w:hRule="exact"/>
          <w:jc w:val="center"/>
        </w:trPr>
        <w:tc>
          <w:tcPr>
            <w:tcW w:w="548" w:type="dxa"/>
            <w:vMerge w:val="continue"/>
            <w:tcBorders>
              <w:bottom w:val="nil"/>
            </w:tcBorders>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47</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擅自改变物业管理区域内按照规划建设的公共建筑和共用设施用途的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5分/次</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4" w:hRule="exact"/>
          <w:jc w:val="center"/>
        </w:trPr>
        <w:tc>
          <w:tcPr>
            <w:tcW w:w="548" w:type="dxa"/>
            <w:vMerge w:val="restart"/>
            <w:tcBorders>
              <w:top w:val="nil"/>
            </w:tcBorders>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48</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合同依法或依约终止应退出但未按规定程序及要求及时退出物业项目的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5分/次</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49</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擅自改变物业服务用房用途的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5分/次</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9"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50</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未建立健全并落实安全生产责任制、安全生产教育培训制度、安全生产规章制度的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5分/次</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51</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对治安、消防、电梯使用等突发事件无应急预案，在容易危及人身安全处未设置警示标志和采取相应防范措施的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3分/次</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8"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52</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未按规定在物业管理区域内公示服务内容、服务标准、收费项目及标准、公摊费用等事项的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3分/次</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53</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未建立水、电、气、电梯、消防等共用施设备台账，无保养、运行、检查、维修记录的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3分/次</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9"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54</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与业主达成一致的经营性收入未单独分类列账，并未定期公布经营所得收益收支情况的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3分/次</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2"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55</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因住宅区内业主拖欠物业服务费用采取停水、停电、停气行为的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3分/次</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0"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56</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设立不正当收费项目、扩大收费范围、擅自提高收费标准、重复收费的</w:t>
            </w:r>
          </w:p>
        </w:tc>
        <w:tc>
          <w:tcPr>
            <w:tcW w:w="1214" w:type="dxa"/>
            <w:vAlign w:val="center"/>
          </w:tcPr>
          <w:p>
            <w:pPr>
              <w:rPr>
                <w:rFonts w:asciiTheme="minorEastAsia" w:hAnsiTheme="minorEastAsia" w:cstheme="minorEastAsia"/>
                <w:szCs w:val="21"/>
              </w:rPr>
            </w:pPr>
            <w:r>
              <w:rPr>
                <w:rFonts w:hint="eastAsia" w:asciiTheme="minorEastAsia" w:hAnsiTheme="minorEastAsia" w:cstheme="minorEastAsia"/>
                <w:szCs w:val="21"/>
              </w:rPr>
              <w:t>4分/次</w:t>
            </w:r>
          </w:p>
        </w:tc>
        <w:tc>
          <w:tcPr>
            <w:tcW w:w="1350" w:type="dxa"/>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57</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因物业服务企业责任发生重大责任性事故或出现其他严重违规事项，市级文件确定记零分的</w:t>
            </w:r>
          </w:p>
        </w:tc>
        <w:tc>
          <w:tcPr>
            <w:tcW w:w="1214" w:type="dxa"/>
            <w:vMerge w:val="restart"/>
            <w:vAlign w:val="center"/>
          </w:tcPr>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r>
              <w:rPr>
                <w:rFonts w:hint="eastAsia" w:asciiTheme="minorEastAsia" w:hAnsiTheme="minorEastAsia" w:cstheme="minorEastAsia"/>
                <w:szCs w:val="21"/>
              </w:rPr>
              <w:t>记</w:t>
            </w:r>
          </w:p>
          <w:p>
            <w:pPr>
              <w:rPr>
                <w:rFonts w:asciiTheme="minorEastAsia" w:hAnsiTheme="minorEastAsia" w:cstheme="minorEastAsia"/>
                <w:szCs w:val="21"/>
              </w:rPr>
            </w:pPr>
            <w:r>
              <w:rPr>
                <w:rFonts w:hint="eastAsia" w:asciiTheme="minorEastAsia" w:hAnsiTheme="minorEastAsia" w:cstheme="minorEastAsia"/>
                <w:szCs w:val="21"/>
              </w:rPr>
              <w:t>零</w:t>
            </w:r>
          </w:p>
          <w:p>
            <w:pPr>
              <w:rPr>
                <w:rFonts w:asciiTheme="minorEastAsia" w:hAnsiTheme="minorEastAsia" w:cstheme="minorEastAsia"/>
                <w:szCs w:val="21"/>
              </w:rPr>
            </w:pPr>
            <w:r>
              <w:rPr>
                <w:rFonts w:hint="eastAsia" w:asciiTheme="minorEastAsia" w:hAnsiTheme="minorEastAsia" w:cstheme="minorEastAsia"/>
                <w:szCs w:val="21"/>
              </w:rPr>
              <w:t>分</w:t>
            </w:r>
          </w:p>
        </w:tc>
        <w:tc>
          <w:tcPr>
            <w:tcW w:w="1350" w:type="dxa"/>
            <w:vMerge w:val="restart"/>
            <w:vAlign w:val="center"/>
          </w:tcPr>
          <w:p>
            <w:pPr>
              <w:rPr>
                <w:rFonts w:asciiTheme="minorEastAsia" w:hAnsiTheme="minorEastAsia" w:cstheme="minorEastAsia"/>
                <w:szCs w:val="21"/>
              </w:rPr>
            </w:pPr>
          </w:p>
          <w:p>
            <w:pPr>
              <w:rPr>
                <w:rFonts w:asciiTheme="minorEastAsia" w:hAnsiTheme="minorEastAsia" w:cstheme="minorEastAsia"/>
                <w:szCs w:val="21"/>
              </w:rPr>
            </w:pPr>
          </w:p>
          <w:p>
            <w:pPr>
              <w:rPr>
                <w:rFonts w:asciiTheme="minorEastAsia" w:hAnsiTheme="minorEastAsia" w:cstheme="minorEastAsia"/>
                <w:szCs w:val="21"/>
              </w:rPr>
            </w:pPr>
            <w:r>
              <w:rPr>
                <w:rFonts w:hint="eastAsia" w:asciiTheme="minorEastAsia" w:hAnsiTheme="minorEastAsia" w:cstheme="minorEastAsia"/>
                <w:szCs w:val="21"/>
              </w:rPr>
              <w:t>一票</w:t>
            </w:r>
          </w:p>
          <w:p>
            <w:pPr>
              <w:rPr>
                <w:rFonts w:asciiTheme="minorEastAsia" w:hAnsiTheme="minorEastAsia" w:cstheme="minorEastAsia"/>
                <w:szCs w:val="21"/>
              </w:rPr>
            </w:pPr>
            <w:r>
              <w:rPr>
                <w:rFonts w:hint="eastAsia" w:asciiTheme="minorEastAsia" w:hAnsiTheme="minorEastAsia" w:cstheme="minorEastAsia"/>
                <w:szCs w:val="21"/>
              </w:rPr>
              <w:t>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58</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未按规定程序承接物业管理项目，情节严重或造成严重不良后果的</w:t>
            </w:r>
          </w:p>
        </w:tc>
        <w:tc>
          <w:tcPr>
            <w:tcW w:w="1214" w:type="dxa"/>
            <w:vMerge w:val="continue"/>
            <w:vAlign w:val="center"/>
          </w:tcPr>
          <w:p>
            <w:pPr>
              <w:rPr>
                <w:rFonts w:asciiTheme="minorEastAsia" w:hAnsiTheme="minorEastAsia" w:cstheme="minorEastAsia"/>
                <w:szCs w:val="21"/>
              </w:rPr>
            </w:pPr>
          </w:p>
        </w:tc>
        <w:tc>
          <w:tcPr>
            <w:tcW w:w="1350" w:type="dxa"/>
            <w:vMerge w:val="continue"/>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59</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连续2年不申请参加市物业项目负责人网上信用信息登记的</w:t>
            </w:r>
          </w:p>
        </w:tc>
        <w:tc>
          <w:tcPr>
            <w:tcW w:w="1214" w:type="dxa"/>
            <w:vMerge w:val="continue"/>
            <w:vAlign w:val="center"/>
          </w:tcPr>
          <w:p>
            <w:pPr>
              <w:rPr>
                <w:rFonts w:asciiTheme="minorEastAsia" w:hAnsiTheme="minorEastAsia" w:cstheme="minorEastAsia"/>
                <w:szCs w:val="21"/>
              </w:rPr>
            </w:pPr>
          </w:p>
        </w:tc>
        <w:tc>
          <w:tcPr>
            <w:tcW w:w="1350" w:type="dxa"/>
            <w:vMerge w:val="continue"/>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60</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物业服务合同有效期内，未履行法定程序擅自放弃物业服务项目的</w:t>
            </w:r>
          </w:p>
        </w:tc>
        <w:tc>
          <w:tcPr>
            <w:tcW w:w="1214" w:type="dxa"/>
            <w:vMerge w:val="continue"/>
            <w:vAlign w:val="center"/>
          </w:tcPr>
          <w:p>
            <w:pPr>
              <w:rPr>
                <w:rFonts w:asciiTheme="minorEastAsia" w:hAnsiTheme="minorEastAsia" w:cstheme="minorEastAsia"/>
                <w:szCs w:val="21"/>
              </w:rPr>
            </w:pPr>
          </w:p>
        </w:tc>
        <w:tc>
          <w:tcPr>
            <w:tcW w:w="1350" w:type="dxa"/>
            <w:vMerge w:val="continue"/>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6"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61</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物业服务合同终止退出服务项目时不按相关规定程序和要求退出或不履行相应义务，情节严重的</w:t>
            </w:r>
          </w:p>
          <w:p>
            <w:pPr>
              <w:rPr>
                <w:rFonts w:asciiTheme="minorEastAsia" w:hAnsiTheme="minorEastAsia" w:cstheme="minorEastAsia"/>
                <w:szCs w:val="21"/>
              </w:rPr>
            </w:pPr>
          </w:p>
        </w:tc>
        <w:tc>
          <w:tcPr>
            <w:tcW w:w="1214" w:type="dxa"/>
            <w:vMerge w:val="continue"/>
            <w:vAlign w:val="center"/>
          </w:tcPr>
          <w:p>
            <w:pPr>
              <w:rPr>
                <w:rFonts w:asciiTheme="minorEastAsia" w:hAnsiTheme="minorEastAsia" w:cstheme="minorEastAsia"/>
                <w:szCs w:val="21"/>
              </w:rPr>
            </w:pPr>
          </w:p>
        </w:tc>
        <w:tc>
          <w:tcPr>
            <w:tcW w:w="1350" w:type="dxa"/>
            <w:vMerge w:val="continue"/>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62</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各级物业行政主管部门在日常巡查工作中，被公开通报三次(含三次)以上拒不整改的</w:t>
            </w:r>
          </w:p>
          <w:p>
            <w:pPr>
              <w:rPr>
                <w:rFonts w:asciiTheme="minorEastAsia" w:hAnsiTheme="minorEastAsia" w:cstheme="minorEastAsia"/>
                <w:szCs w:val="21"/>
              </w:rPr>
            </w:pPr>
          </w:p>
        </w:tc>
        <w:tc>
          <w:tcPr>
            <w:tcW w:w="1214" w:type="dxa"/>
            <w:vMerge w:val="continue"/>
            <w:vAlign w:val="center"/>
          </w:tcPr>
          <w:p>
            <w:pPr>
              <w:rPr>
                <w:rFonts w:asciiTheme="minorEastAsia" w:hAnsiTheme="minorEastAsia" w:cstheme="minorEastAsia"/>
                <w:szCs w:val="21"/>
              </w:rPr>
            </w:pPr>
          </w:p>
        </w:tc>
        <w:tc>
          <w:tcPr>
            <w:tcW w:w="1350" w:type="dxa"/>
            <w:vMerge w:val="continue"/>
            <w:vAlign w:val="center"/>
          </w:tcPr>
          <w:p>
            <w:pP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9" w:hRule="exact"/>
          <w:jc w:val="center"/>
        </w:trPr>
        <w:tc>
          <w:tcPr>
            <w:tcW w:w="548" w:type="dxa"/>
            <w:vMerge w:val="continue"/>
            <w:vAlign w:val="center"/>
          </w:tcPr>
          <w:p>
            <w:pPr>
              <w:rPr>
                <w:rFonts w:asciiTheme="minorEastAsia" w:hAnsiTheme="minorEastAsia" w:cstheme="minorEastAsia"/>
                <w:szCs w:val="21"/>
              </w:rPr>
            </w:pPr>
          </w:p>
        </w:tc>
        <w:tc>
          <w:tcPr>
            <w:tcW w:w="989" w:type="dxa"/>
            <w:vMerge w:val="continue"/>
            <w:vAlign w:val="center"/>
          </w:tcPr>
          <w:p>
            <w:pPr>
              <w:rPr>
                <w:rFonts w:asciiTheme="minorEastAsia" w:hAnsiTheme="minorEastAsia" w:cstheme="minorEastAsia"/>
                <w:szCs w:val="21"/>
              </w:rPr>
            </w:pPr>
          </w:p>
        </w:tc>
        <w:tc>
          <w:tcPr>
            <w:tcW w:w="538"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63</w:t>
            </w:r>
          </w:p>
        </w:tc>
        <w:tc>
          <w:tcPr>
            <w:tcW w:w="5755" w:type="dxa"/>
            <w:vAlign w:val="center"/>
          </w:tcPr>
          <w:p>
            <w:pPr>
              <w:rPr>
                <w:rFonts w:asciiTheme="minorEastAsia" w:hAnsiTheme="minorEastAsia" w:cstheme="minorEastAsia"/>
                <w:szCs w:val="21"/>
              </w:rPr>
            </w:pPr>
            <w:r>
              <w:rPr>
                <w:rFonts w:hint="eastAsia" w:asciiTheme="minorEastAsia" w:hAnsiTheme="minorEastAsia" w:cstheme="minorEastAsia"/>
                <w:szCs w:val="21"/>
              </w:rPr>
              <w:t>在管项目满一年后仍未参与市物业项目负责人信用评价活动的</w:t>
            </w:r>
          </w:p>
        </w:tc>
        <w:tc>
          <w:tcPr>
            <w:tcW w:w="1214" w:type="dxa"/>
            <w:vMerge w:val="continue"/>
            <w:vAlign w:val="center"/>
          </w:tcPr>
          <w:p>
            <w:pPr>
              <w:rPr>
                <w:rFonts w:asciiTheme="minorEastAsia" w:hAnsiTheme="minorEastAsia" w:cstheme="minorEastAsia"/>
                <w:szCs w:val="21"/>
              </w:rPr>
            </w:pPr>
          </w:p>
        </w:tc>
        <w:tc>
          <w:tcPr>
            <w:tcW w:w="1350" w:type="dxa"/>
            <w:vMerge w:val="continue"/>
            <w:vAlign w:val="center"/>
          </w:tcPr>
          <w:p>
            <w:pPr>
              <w:rPr>
                <w:rFonts w:asciiTheme="minorEastAsia" w:hAnsiTheme="minorEastAsia" w:cstheme="minorEastAsia"/>
                <w:szCs w:val="21"/>
              </w:rPr>
            </w:pPr>
          </w:p>
        </w:tc>
      </w:tr>
    </w:tbl>
    <w:p>
      <w:pPr>
        <w:rPr>
          <w:rFonts w:ascii="方正小标宋简体" w:hAnsi="方正小标宋简体" w:eastAsia="方正小标宋简体" w:cs="方正小标宋简体"/>
          <w:sz w:val="32"/>
          <w:szCs w:val="32"/>
        </w:rPr>
      </w:pPr>
    </w:p>
    <w:p/>
    <w:sectPr>
      <w:footerReference r:id="rId3"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265777"/>
                          </w:sdtPr>
                          <w:sdtContent>
                            <w:p>
                              <w:pPr>
                                <w:pStyle w:val="2"/>
                                <w:jc w:val="center"/>
                              </w:pPr>
                              <w:r>
                                <w:fldChar w:fldCharType="begin"/>
                              </w:r>
                              <w:r>
                                <w:instrText xml:space="preserve"> PAGE   \* MERGEFORMAT </w:instrText>
                              </w:r>
                              <w:r>
                                <w:fldChar w:fldCharType="separate"/>
                              </w:r>
                              <w:r>
                                <w:rPr>
                                  <w:lang w:val="zh-CN"/>
                                </w:rPr>
                                <w:t>1</w:t>
                              </w:r>
                              <w:r>
                                <w:rPr>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sdt>
                    <w:sdtPr>
                      <w:id w:val="1265777"/>
                    </w:sdtPr>
                    <w:sdtContent>
                      <w:p>
                        <w:pPr>
                          <w:pStyle w:val="2"/>
                          <w:jc w:val="center"/>
                        </w:pPr>
                        <w:r>
                          <w:fldChar w:fldCharType="begin"/>
                        </w:r>
                        <w:r>
                          <w:instrText xml:space="preserve"> PAGE   \* MERGEFORMAT </w:instrText>
                        </w:r>
                        <w:r>
                          <w:fldChar w:fldCharType="separate"/>
                        </w:r>
                        <w:r>
                          <w:rPr>
                            <w:lang w:val="zh-CN"/>
                          </w:rPr>
                          <w:t>1</w:t>
                        </w:r>
                        <w:r>
                          <w:rPr>
                            <w:lang w:val="zh-CN"/>
                          </w:rPr>
                          <w:fldChar w:fldCharType="end"/>
                        </w:r>
                      </w:p>
                    </w:sdtContent>
                  </w:sdt>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B61"/>
    <w:rsid w:val="005D5B61"/>
    <w:rsid w:val="00AB3B18"/>
    <w:rsid w:val="00B9320B"/>
    <w:rsid w:val="00D54DF1"/>
    <w:rsid w:val="00EB35E6"/>
    <w:rsid w:val="00EC0199"/>
    <w:rsid w:val="069E1EB5"/>
    <w:rsid w:val="093D2D1B"/>
    <w:rsid w:val="122B3436"/>
    <w:rsid w:val="24AF7BB3"/>
    <w:rsid w:val="2A384FB7"/>
    <w:rsid w:val="2BDD3F66"/>
    <w:rsid w:val="2C1F7DC5"/>
    <w:rsid w:val="2DDF21E7"/>
    <w:rsid w:val="3499595E"/>
    <w:rsid w:val="3A2D5411"/>
    <w:rsid w:val="44396A60"/>
    <w:rsid w:val="4C1C37D9"/>
    <w:rsid w:val="4E523562"/>
    <w:rsid w:val="50731FE8"/>
    <w:rsid w:val="572D0CF8"/>
    <w:rsid w:val="607261D9"/>
    <w:rsid w:val="658330BF"/>
    <w:rsid w:val="669E12AF"/>
    <w:rsid w:val="66F21694"/>
    <w:rsid w:val="69C6236A"/>
    <w:rsid w:val="7B427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1507</Words>
  <Characters>8592</Characters>
  <Lines>71</Lines>
  <Paragraphs>20</Paragraphs>
  <TotalTime>21</TotalTime>
  <ScaleCrop>false</ScaleCrop>
  <LinksUpToDate>false</LinksUpToDate>
  <CharactersWithSpaces>10079</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ustupid</cp:lastModifiedBy>
  <cp:lastPrinted>2018-07-31T02:32:00Z</cp:lastPrinted>
  <dcterms:modified xsi:type="dcterms:W3CDTF">2019-08-13T09:02:28Z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