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980" w:lineRule="exact"/>
        <w:jc w:val="center"/>
        <w:rPr>
          <w:rFonts w:hint="default" w:ascii="Times New Roman" w:hAnsi="Times New Roman" w:eastAsia="方正小标宋简体"/>
          <w:color w:val="FF0000"/>
          <w:spacing w:val="40"/>
          <w:w w:val="60"/>
          <w:sz w:val="96"/>
          <w:szCs w:val="96"/>
        </w:rPr>
      </w:pPr>
      <w:bookmarkStart w:id="2" w:name="_GoBack"/>
      <w:bookmarkEnd w:id="2"/>
    </w:p>
    <w:p>
      <w:pPr>
        <w:snapToGrid w:val="0"/>
        <w:jc w:val="center"/>
        <w:rPr>
          <w:rFonts w:hint="default" w:ascii="Times New Roman" w:hAnsi="Times New Roman" w:eastAsia="方正小标宋简体"/>
          <w:color w:val="FF0000"/>
          <w:spacing w:val="30"/>
          <w:w w:val="60"/>
          <w:sz w:val="96"/>
          <w:szCs w:val="96"/>
        </w:rPr>
      </w:pPr>
      <w:r>
        <w:rPr>
          <w:rFonts w:hint="default" w:ascii="Times New Roman" w:hAnsi="Times New Roman" w:eastAsia="方正小标宋简体"/>
          <w:color w:val="FF0000"/>
          <w:spacing w:val="30"/>
          <w:w w:val="60"/>
          <w:sz w:val="96"/>
          <w:szCs w:val="96"/>
        </w:rPr>
        <w:t>连云港市住房和城乡</w:t>
      </w:r>
      <w:r>
        <w:rPr>
          <w:rFonts w:ascii="Times New Roman" w:hAnsi="Times New Roman" w:eastAsia="方正小标宋简体"/>
          <w:color w:val="FF0000"/>
          <w:spacing w:val="30"/>
          <w:w w:val="60"/>
          <w:sz w:val="96"/>
          <w:szCs w:val="96"/>
        </w:rPr>
        <w:t>建设局</w:t>
      </w:r>
      <w:r>
        <w:rPr>
          <w:rFonts w:hint="default" w:ascii="Times New Roman" w:hAnsi="Times New Roman" w:eastAsia="方正小标宋简体"/>
          <w:color w:val="FF0000"/>
          <w:spacing w:val="30"/>
          <w:w w:val="60"/>
          <w:sz w:val="96"/>
          <w:szCs w:val="96"/>
        </w:rPr>
        <w:t>文件</w:t>
      </w:r>
    </w:p>
    <w:p>
      <w:pPr>
        <w:snapToGrid w:val="0"/>
        <w:spacing w:line="380" w:lineRule="exact"/>
        <w:jc w:val="center"/>
        <w:rPr>
          <w:rFonts w:ascii="Times New Roman" w:hAnsi="Times New Roman" w:eastAsia="仿宋_GB2312"/>
          <w:sz w:val="40"/>
          <w:szCs w:val="40"/>
        </w:rPr>
      </w:pPr>
    </w:p>
    <w:p>
      <w:pPr>
        <w:snapToGrid w:val="0"/>
        <w:spacing w:line="380" w:lineRule="exact"/>
        <w:jc w:val="center"/>
        <w:rPr>
          <w:rFonts w:ascii="Times New Roman" w:hAnsi="Times New Roman" w:eastAsia="仿宋_GB2312"/>
          <w:sz w:val="40"/>
          <w:szCs w:val="40"/>
        </w:rPr>
      </w:pPr>
    </w:p>
    <w:p>
      <w:pPr>
        <w:snapToGrid w:val="0"/>
        <w:spacing w:line="380" w:lineRule="exact"/>
        <w:jc w:val="center"/>
        <w:rPr>
          <w:rFonts w:ascii="Times New Roman" w:hAnsi="Times New Roman" w:eastAsia="仿宋_GB2312"/>
          <w:sz w:val="40"/>
          <w:szCs w:val="40"/>
        </w:rPr>
      </w:pPr>
    </w:p>
    <w:p>
      <w:pPr>
        <w:snapToGrid w:val="0"/>
        <w:spacing w:line="380" w:lineRule="exact"/>
        <w:jc w:val="center"/>
        <w:rPr>
          <w:rFonts w:hint="default" w:ascii="Times New Roman" w:hAnsi="Times New Roman" w:eastAsia="仿宋_GB2312"/>
          <w:sz w:val="40"/>
          <w:szCs w:val="40"/>
        </w:rPr>
      </w:pPr>
    </w:p>
    <w:p>
      <w:pPr>
        <w:tabs>
          <w:tab w:val="left" w:pos="10190"/>
        </w:tabs>
        <w:snapToGrid w:val="0"/>
        <w:spacing w:before="48" w:beforeLines="10" w:line="460" w:lineRule="exact"/>
        <w:ind w:firstLine="305" w:firstLineChars="98"/>
        <w:jc w:val="center"/>
        <w:rPr>
          <w:rFonts w:hint="eastAsia" w:ascii="Times New Roman" w:hAnsi="Times New Roman" w:eastAsia="仿宋_GB2312" w:cs="Times New Roman"/>
          <w:sz w:val="32"/>
          <w:szCs w:val="32"/>
          <w:lang w:eastAsia="zh-CN"/>
        </w:rPr>
      </w:pPr>
      <w:bookmarkStart w:id="0" w:name="文号"/>
      <w:r>
        <w:rPr>
          <w:rFonts w:hint="eastAsia" w:ascii="Times New Roman" w:hAnsi="Times New Roman" w:eastAsia="仿宋_GB2312" w:cs="Times New Roman"/>
          <w:sz w:val="32"/>
          <w:szCs w:val="32"/>
          <w:lang w:eastAsia="zh-CN"/>
        </w:rPr>
        <w:t>连建房监﹝2020﹞123号</w:t>
      </w:r>
      <w:bookmarkEnd w:id="0"/>
    </w:p>
    <w:p>
      <w:pPr>
        <w:snapToGrid w:val="0"/>
        <w:spacing w:before="48" w:beforeLines="10" w:line="460" w:lineRule="exact"/>
        <w:jc w:val="both"/>
        <w:rPr>
          <w:rFonts w:hint="default" w:ascii="Times New Roman" w:hAnsi="Times New Roman" w:eastAsia="仿宋_GB2312"/>
          <w:sz w:val="44"/>
        </w:rPr>
      </w:pPr>
      <w:r>
        <w:rPr>
          <w:rFonts w:hint="default" w:ascii="Times New Roman" w:hAnsi="Times New Roman" w:eastAsia="仿宋_GB2312"/>
          <w:sz w:val="44"/>
          <w:szCs w:val="44"/>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98425</wp:posOffset>
                </wp:positionV>
                <wp:extent cx="5572125" cy="635"/>
                <wp:effectExtent l="0" t="13970" r="9525" b="23495"/>
                <wp:wrapNone/>
                <wp:docPr id="1" name="直线 20"/>
                <wp:cNvGraphicFramePr/>
                <a:graphic xmlns:a="http://schemas.openxmlformats.org/drawingml/2006/main">
                  <a:graphicData uri="http://schemas.microsoft.com/office/word/2010/wordprocessingShape">
                    <wps:wsp>
                      <wps:cNvCnPr/>
                      <wps:spPr>
                        <a:xfrm>
                          <a:off x="0" y="0"/>
                          <a:ext cx="5572125"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20" o:spid="_x0000_s1026" o:spt="20" style="position:absolute;left:0pt;margin-left:2.25pt;margin-top:7.75pt;height:0.05pt;width:438.75pt;z-index:251658240;mso-width-relative:page;mso-height-relative:page;" filled="f" stroked="t" coordsize="21600,21600" o:gfxdata="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FQnhdUAAAAHAQAADwAAAAAAAAABACAAAAAiAAAA&#10;ZHJzL2Rvd25yZXYueG1sUEsBAhQAFAAAAAgAh07iQETCp4rRAQAAkQMAAA4AAAAAAAAAAQAgAAAA&#10;JAEAAGRycy9lMm9Eb2MueG1sUEsFBgAAAAAGAAYAWQEAAGcFA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bookmarkStart w:id="1" w:name="附件"/>
      <w:bookmarkEnd w:id="1"/>
      <w:r>
        <w:rPr>
          <w:rFonts w:hint="default" w:ascii="Times New Roman" w:hAnsi="Times New Roman" w:eastAsia="方正小标宋简体" w:cs="Times New Roman"/>
          <w:sz w:val="44"/>
          <w:szCs w:val="44"/>
          <w:lang w:eastAsia="zh-CN"/>
        </w:rPr>
        <w:t>关于开展</w:t>
      </w:r>
      <w:r>
        <w:rPr>
          <w:rFonts w:hint="default" w:ascii="Times New Roman" w:hAnsi="Times New Roman" w:eastAsia="方正小标宋简体" w:cs="Times New Roman"/>
          <w:sz w:val="44"/>
          <w:szCs w:val="44"/>
          <w:lang w:val="en-US" w:eastAsia="zh-CN"/>
        </w:rPr>
        <w:t>2019年度连云港市市区房地产</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开发企业信用考评的通知</w:t>
      </w:r>
    </w:p>
    <w:p>
      <w:pPr>
        <w:rPr>
          <w:rFonts w:hint="default" w:ascii="Times New Roman" w:hAnsi="Times New Roman"/>
          <w:lang w:val="en-US" w:eastAsia="zh-CN"/>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局相关处室、单位，市区各房地产开发企业：</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为进一步提高我市房地产开发企业诚信经营意识，加快推进房地产行业信用体系建设，构建诚实守信的市场环境，促进我市房地产行业持续健康发展，</w:t>
      </w:r>
      <w:r>
        <w:rPr>
          <w:rFonts w:hint="default" w:ascii="Times New Roman" w:hAnsi="Times New Roman" w:eastAsia="仿宋_GB2312" w:cs="Times New Roman"/>
          <w:color w:val="000000"/>
          <w:sz w:val="32"/>
          <w:szCs w:val="32"/>
          <w:lang w:eastAsia="zh-CN"/>
        </w:rPr>
        <w:t>依据《连云港市市区房地产开发企业信用考评暂行办法（</w:t>
      </w:r>
      <w:r>
        <w:rPr>
          <w:rFonts w:hint="default" w:ascii="Times New Roman" w:hAnsi="Times New Roman" w:eastAsia="仿宋_GB2312" w:cs="Times New Roman"/>
          <w:color w:val="000000"/>
          <w:sz w:val="32"/>
          <w:szCs w:val="32"/>
          <w:lang w:val="en-US" w:eastAsia="zh-CN"/>
        </w:rPr>
        <w:t>2018修订版</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连住房规发〔2018〕1号，以下简称《办法》</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，决定开展2019</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eastAsia="zh-CN"/>
        </w:rPr>
        <w:t>度市区</w:t>
      </w:r>
      <w:r>
        <w:rPr>
          <w:rFonts w:hint="default" w:ascii="Times New Roman" w:hAnsi="Times New Roman" w:eastAsia="仿宋_GB2312" w:cs="Times New Roman"/>
          <w:color w:val="000000"/>
          <w:sz w:val="32"/>
          <w:szCs w:val="32"/>
        </w:rPr>
        <w:t>房地产开发企业信用</w:t>
      </w:r>
      <w:r>
        <w:rPr>
          <w:rFonts w:hint="default" w:ascii="Times New Roman" w:hAnsi="Times New Roman" w:eastAsia="仿宋_GB2312" w:cs="Times New Roman"/>
          <w:color w:val="000000"/>
          <w:sz w:val="32"/>
          <w:szCs w:val="32"/>
          <w:lang w:eastAsia="zh-CN"/>
        </w:rPr>
        <w:t>考评。现将有关事项</w:t>
      </w:r>
      <w:r>
        <w:rPr>
          <w:rFonts w:hint="default" w:ascii="Times New Roman" w:hAnsi="Times New Roman" w:eastAsia="仿宋_GB2312" w:cs="Times New Roman"/>
          <w:color w:val="000000"/>
          <w:sz w:val="32"/>
          <w:szCs w:val="32"/>
        </w:rPr>
        <w:t>通知如下</w:t>
      </w:r>
      <w:r>
        <w:rPr>
          <w:rFonts w:hint="default" w:ascii="Times New Roman" w:hAnsi="Times New Roman" w:eastAsia="仿宋_GB2312" w:cs="Times New Roman"/>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一、信用考评原则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信用考评工作本着公开、公平、公正的原则进行，通过对房地产开发企业全面评价，确定企业信用考评等级。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二、信用考评范围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在</w:t>
      </w:r>
      <w:r>
        <w:rPr>
          <w:rFonts w:hint="default" w:ascii="Times New Roman" w:hAnsi="Times New Roman" w:eastAsia="仿宋_GB2312" w:cs="Times New Roman"/>
          <w:color w:val="000000"/>
          <w:sz w:val="32"/>
          <w:szCs w:val="32"/>
          <w:lang w:eastAsia="zh-CN"/>
        </w:rPr>
        <w:t>连云港</w:t>
      </w:r>
      <w:r>
        <w:rPr>
          <w:rFonts w:hint="default" w:ascii="Times New Roman" w:hAnsi="Times New Roman" w:eastAsia="仿宋_GB2312" w:cs="Times New Roman"/>
          <w:color w:val="000000"/>
          <w:sz w:val="32"/>
          <w:szCs w:val="32"/>
        </w:rPr>
        <w:t>市</w:t>
      </w:r>
      <w:r>
        <w:rPr>
          <w:rFonts w:hint="default" w:ascii="Times New Roman" w:hAnsi="Times New Roman" w:eastAsia="仿宋_GB2312" w:cs="Times New Roman"/>
          <w:color w:val="000000"/>
          <w:sz w:val="32"/>
          <w:szCs w:val="32"/>
          <w:lang w:eastAsia="zh-CN"/>
        </w:rPr>
        <w:t>区（不含赣榆区）</w:t>
      </w:r>
      <w:r>
        <w:rPr>
          <w:rFonts w:hint="default" w:ascii="Times New Roman" w:hAnsi="Times New Roman" w:eastAsia="仿宋_GB2312" w:cs="Times New Roman"/>
          <w:color w:val="000000"/>
          <w:sz w:val="32"/>
          <w:szCs w:val="32"/>
        </w:rPr>
        <w:t>从事房地产开发经营活动的房地产开发企业</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已无正常开发经营和销售活动的休眠企业不纳入此次考评。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三、</w:t>
      </w:r>
      <w:r>
        <w:rPr>
          <w:rFonts w:hint="default" w:ascii="Times New Roman" w:hAnsi="Times New Roman" w:eastAsia="黑体" w:cs="Times New Roman"/>
          <w:color w:val="000000"/>
          <w:sz w:val="32"/>
          <w:szCs w:val="32"/>
          <w:lang w:val="en-US" w:eastAsia="zh-CN"/>
        </w:rPr>
        <w:t>信用考评</w:t>
      </w:r>
      <w:r>
        <w:rPr>
          <w:rFonts w:hint="default" w:ascii="Times New Roman" w:hAnsi="Times New Roman" w:eastAsia="黑体" w:cs="Times New Roman"/>
          <w:color w:val="000000"/>
          <w:sz w:val="32"/>
          <w:szCs w:val="32"/>
          <w:lang w:eastAsia="zh-CN"/>
        </w:rPr>
        <w:t>时间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2020年4月7日至2020年4月30日。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四、信用考评标准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信用考评工作将采用《办法》的标准执行。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五、信用考评要求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各房地产开发企业应如实填报《房地产开发企业信用信息情况表》，加盖企业公章后由企业信用信息管理员将相关资料纸质版于4月17日前送至市住建局房地产市场监管处，过期不予受理，相关资料扫描后电子版发至指定邮箱。</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请市住建局系统内相关处室、单位汇总2019年度各房地产开发企业的不良行为及减分事项，并于2020年4月17日前报局房地产市场监管处。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（联系人：程晖，联系电话：85400547，电子邮箱：37603364@qq.com，地址：海州区凤凰大道1号港城新世界3号楼350室）</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right="0" w:rightChars="0" w:firstLine="622" w:firstLineChars="200"/>
        <w:textAlignment w:val="auto"/>
        <w:outlineLvl w:val="9"/>
        <w:rPr>
          <w:rFonts w:hint="default" w:ascii="Times New Roman" w:hAnsi="Times New Roman" w:eastAsia="仿宋_GB2312" w:cs="Times New Roman"/>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22" w:firstLineChars="200"/>
        <w:jc w:val="left"/>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附件：房地产开发企业信用信息情况表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0" w:firstLineChars="0"/>
        <w:jc w:val="left"/>
        <w:textAlignment w:val="auto"/>
        <w:outlineLvl w:val="9"/>
        <w:rPr>
          <w:rFonts w:hint="default" w:ascii="Times New Roman" w:hAnsi="Times New Roman" w:eastAsia="仿宋_GB2312" w:cs="Times New Roman"/>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jc w:val="center"/>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                     连云港市住房和城乡建设局</w:t>
      </w:r>
    </w:p>
    <w:p>
      <w:pPr>
        <w:spacing w:line="480" w:lineRule="exac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                                 2020年4月2日</w:t>
      </w:r>
    </w:p>
    <w:p>
      <w:pPr>
        <w:keepNext w:val="0"/>
        <w:keepLines w:val="0"/>
        <w:pageBreakBefore w:val="0"/>
        <w:widowControl w:val="0"/>
        <w:numPr>
          <w:numId w:val="0"/>
        </w:numPr>
        <w:pBdr>
          <w:top w:val="single" w:color="auto" w:sz="4" w:space="1"/>
          <w:bottom w:val="single" w:color="auto" w:sz="4" w:space="1"/>
        </w:pBdr>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cs="Times New Roman"/>
          <w:sz w:val="28"/>
          <w:szCs w:val="28"/>
        </w:rPr>
        <w:t xml:space="preserve"> </w:t>
      </w:r>
      <w:r>
        <w:rPr>
          <w:rFonts w:hint="default" w:ascii="Times New Roman" w:hAnsi="Times New Roman" w:eastAsia="仿宋_GB2312" w:cs="Times New Roman"/>
          <w:sz w:val="28"/>
          <w:szCs w:val="28"/>
        </w:rPr>
        <w:t xml:space="preserve"> 连云港市住房和城乡建设局办公室            20</w:t>
      </w:r>
      <w:r>
        <w:rPr>
          <w:rFonts w:hint="eastAsia" w:ascii="Times New Roman" w:hAnsi="Times New Roman" w:eastAsia="仿宋_GB2312" w:cs="Times New Roman"/>
          <w:sz w:val="28"/>
          <w:szCs w:val="28"/>
          <w:lang w:val="en-US" w:eastAsia="zh-CN"/>
        </w:rPr>
        <w:t>20</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 xml:space="preserve">日印发 </w:t>
      </w:r>
      <w:r>
        <w:rPr>
          <w:rFonts w:ascii="Times New Roman" w:hAnsi="Times New Roman" w:eastAsia="仿宋_GB2312"/>
          <w:b/>
          <w:bCs/>
          <w:sz w:val="32"/>
          <w:szCs w:val="32"/>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-13439775</wp:posOffset>
                </wp:positionV>
                <wp:extent cx="5572125" cy="635"/>
                <wp:effectExtent l="0" t="0" r="0" b="0"/>
                <wp:wrapNone/>
                <wp:docPr id="6" name="直线 25"/>
                <wp:cNvGraphicFramePr/>
                <a:graphic xmlns:a="http://schemas.openxmlformats.org/drawingml/2006/main">
                  <a:graphicData uri="http://schemas.microsoft.com/office/word/2010/wordprocessingShape">
                    <wps:wsp>
                      <wps:cNvCnPr/>
                      <wps:spPr>
                        <a:xfrm>
                          <a:off x="0" y="0"/>
                          <a:ext cx="557212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2.25pt;margin-top:-1058.25pt;height:0.05pt;width:438.75pt;z-index:251661312;mso-width-relative:page;mso-height-relative:page;" filled="f" stroked="t" coordsize="21600,21600" o:gfxdata="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hJsbd2QAAAA0BAAAPAAAAAAAAAAEAIAAAACIA&#10;AABkcnMvZG93bnJldi54bWxQSwECFAAUAAAACACHTuJAWpmkbs8BAACQAwAADgAAAAAAAAABACAA&#10;AAAoAQAAZHJzL2Uyb0RvYy54bWxQSwUGAAAAAAYABgBZAQAAaQUAAAAA&#10;">
                <v:fill on="f" focussize="0,0"/>
                <v:stroke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right="0" w:rightChars="0" w:firstLine="862" w:firstLineChars="200"/>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color w:val="000000"/>
          <w:sz w:val="44"/>
          <w:szCs w:val="44"/>
          <w:lang w:val="en-US" w:eastAsia="zh-CN"/>
        </w:rPr>
        <w:t>房地产开发企业信用信息情况表</w:t>
      </w:r>
    </w:p>
    <w:tbl>
      <w:tblPr>
        <w:tblStyle w:val="7"/>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996"/>
        <w:gridCol w:w="694"/>
        <w:gridCol w:w="898"/>
        <w:gridCol w:w="172"/>
        <w:gridCol w:w="56"/>
        <w:gridCol w:w="1079"/>
        <w:gridCol w:w="377"/>
        <w:gridCol w:w="838"/>
        <w:gridCol w:w="146"/>
        <w:gridCol w:w="684"/>
        <w:gridCol w:w="1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380" w:type="dxa"/>
            <w:gridSpan w:val="12"/>
            <w:vAlign w:val="center"/>
          </w:tcPr>
          <w:p>
            <w:pPr>
              <w:spacing w:after="0" w:line="240" w:lineRule="auto"/>
              <w:jc w:val="center"/>
              <w:rPr>
                <w:rFonts w:hint="default" w:ascii="Times New Roman" w:hAnsi="Times New Roman"/>
                <w:sz w:val="24"/>
                <w:szCs w:val="24"/>
                <w:vertAlign w:val="baseline"/>
                <w:lang w:val="en-US" w:eastAsia="zh-CN"/>
              </w:rPr>
            </w:pPr>
            <w:r>
              <w:rPr>
                <w:rFonts w:hint="default" w:ascii="Times New Roman" w:hAnsi="Times New Roman" w:eastAsia="黑体" w:cs="Times New Roman"/>
                <w:b/>
                <w:bCs/>
                <w:sz w:val="24"/>
                <w:szCs w:val="24"/>
                <w:vertAlign w:val="baseline"/>
                <w:lang w:val="en-US" w:eastAsia="zh-CN"/>
              </w:rPr>
              <w:t>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企业名称</w:t>
            </w:r>
          </w:p>
        </w:tc>
        <w:tc>
          <w:tcPr>
            <w:tcW w:w="7765" w:type="dxa"/>
            <w:gridSpan w:val="11"/>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企业地址</w:t>
            </w:r>
          </w:p>
        </w:tc>
        <w:tc>
          <w:tcPr>
            <w:tcW w:w="7765" w:type="dxa"/>
            <w:gridSpan w:val="11"/>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法人代表</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070"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联系人</w:t>
            </w:r>
          </w:p>
        </w:tc>
        <w:tc>
          <w:tcPr>
            <w:tcW w:w="1512"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984"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电话</w:t>
            </w:r>
          </w:p>
        </w:tc>
        <w:tc>
          <w:tcPr>
            <w:tcW w:w="2509"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eastAsiaTheme="minorEastAsia"/>
                <w:spacing w:val="-11"/>
                <w:sz w:val="21"/>
                <w:szCs w:val="21"/>
                <w:vertAlign w:val="baseline"/>
                <w:lang w:val="en-US" w:eastAsia="zh-CN"/>
              </w:rPr>
              <w:t>工商注册登记号</w:t>
            </w:r>
          </w:p>
        </w:tc>
        <w:tc>
          <w:tcPr>
            <w:tcW w:w="7765" w:type="dxa"/>
            <w:gridSpan w:val="11"/>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outlineLvl w:val="9"/>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380" w:type="dxa"/>
            <w:gridSpan w:val="12"/>
            <w:vAlign w:val="center"/>
          </w:tcPr>
          <w:p>
            <w:pPr>
              <w:spacing w:after="0" w:line="240" w:lineRule="auto"/>
              <w:jc w:val="center"/>
              <w:rPr>
                <w:rFonts w:hint="default" w:ascii="Times New Roman" w:hAnsi="Times New Roman" w:eastAsia="黑体" w:cs="Times New Roman"/>
                <w:b/>
                <w:bCs/>
                <w:sz w:val="24"/>
                <w:szCs w:val="24"/>
                <w:vertAlign w:val="baseline"/>
                <w:lang w:val="en-US" w:eastAsia="zh-CN"/>
              </w:rPr>
            </w:pPr>
            <w:r>
              <w:rPr>
                <w:rFonts w:hint="default" w:ascii="Times New Roman" w:hAnsi="Times New Roman" w:eastAsia="黑体" w:cs="Times New Roman"/>
                <w:b/>
                <w:bCs/>
                <w:sz w:val="24"/>
                <w:szCs w:val="24"/>
                <w:vertAlign w:val="baseline"/>
                <w:lang w:val="en-US" w:eastAsia="zh-CN"/>
              </w:rPr>
              <w:t>企业开发项目情况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611"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项目名称</w:t>
            </w:r>
          </w:p>
        </w:tc>
        <w:tc>
          <w:tcPr>
            <w:tcW w:w="1592"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项目规模</w:t>
            </w:r>
          </w:p>
        </w:tc>
        <w:tc>
          <w:tcPr>
            <w:tcW w:w="3352" w:type="dxa"/>
            <w:gridSpan w:val="7"/>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项目地址</w:t>
            </w:r>
          </w:p>
        </w:tc>
        <w:tc>
          <w:tcPr>
            <w:tcW w:w="182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611"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592"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3352" w:type="dxa"/>
            <w:gridSpan w:val="7"/>
            <w:vAlign w:val="center"/>
          </w:tcPr>
          <w:p>
            <w:pPr>
              <w:spacing w:after="0" w:line="240" w:lineRule="auto"/>
              <w:jc w:val="center"/>
              <w:rPr>
                <w:rFonts w:hint="default" w:ascii="Times New Roman" w:hAnsi="Times New Roman"/>
                <w:sz w:val="21"/>
                <w:szCs w:val="21"/>
                <w:vertAlign w:val="baseline"/>
                <w:lang w:val="en-US" w:eastAsia="zh-CN"/>
              </w:rPr>
            </w:pPr>
          </w:p>
        </w:tc>
        <w:tc>
          <w:tcPr>
            <w:tcW w:w="1825" w:type="dxa"/>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611"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592"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3352" w:type="dxa"/>
            <w:gridSpan w:val="7"/>
            <w:vAlign w:val="center"/>
          </w:tcPr>
          <w:p>
            <w:pPr>
              <w:spacing w:after="0" w:line="240" w:lineRule="auto"/>
              <w:jc w:val="center"/>
              <w:rPr>
                <w:rFonts w:hint="default" w:ascii="Times New Roman" w:hAnsi="Times New Roman"/>
                <w:sz w:val="21"/>
                <w:szCs w:val="21"/>
                <w:vertAlign w:val="baseline"/>
                <w:lang w:val="en-US" w:eastAsia="zh-CN"/>
              </w:rPr>
            </w:pPr>
          </w:p>
        </w:tc>
        <w:tc>
          <w:tcPr>
            <w:tcW w:w="1825" w:type="dxa"/>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380" w:type="dxa"/>
            <w:gridSpan w:val="1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eastAsia="黑体" w:cs="Times New Roman"/>
                <w:b/>
                <w:bCs/>
                <w:sz w:val="24"/>
                <w:szCs w:val="24"/>
                <w:vertAlign w:val="baseline"/>
                <w:lang w:val="en-US" w:eastAsia="zh-CN"/>
              </w:rPr>
              <w:t>企业客观信用能力情况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类别</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自评分值</w:t>
            </w:r>
          </w:p>
        </w:tc>
        <w:tc>
          <w:tcPr>
            <w:tcW w:w="6075" w:type="dxa"/>
            <w:gridSpan w:val="9"/>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资质等级</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以资质等级证书为准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银行资信等级</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以人民银行认可的信用机构评定为准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品牌房地产</w:t>
            </w:r>
          </w:p>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上市企业</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eastAsiaTheme="minorEastAsia"/>
                <w:spacing w:val="-17"/>
                <w:sz w:val="21"/>
                <w:szCs w:val="21"/>
                <w:vertAlign w:val="baseline"/>
                <w:lang w:val="en-US" w:eastAsia="zh-CN"/>
              </w:rPr>
            </w:pPr>
            <w:r>
              <w:rPr>
                <w:rFonts w:hint="default" w:ascii="Times New Roman" w:hAnsi="Times New Roman" w:eastAsiaTheme="minorEastAsia"/>
                <w:spacing w:val="-17"/>
                <w:sz w:val="21"/>
                <w:szCs w:val="21"/>
                <w:vertAlign w:val="baseline"/>
                <w:lang w:val="en-US" w:eastAsia="zh-CN"/>
              </w:rPr>
              <w:t>品牌房地产以企业或投资主体是否为中房协上一年度公布的百强企业为准</w:t>
            </w:r>
          </w:p>
          <w:p>
            <w:pPr>
              <w:spacing w:after="0" w:line="500" w:lineRule="exact"/>
              <w:jc w:val="left"/>
              <w:rPr>
                <w:rFonts w:hint="default" w:ascii="Times New Roman" w:hAnsi="Times New Roman" w:eastAsiaTheme="minorEastAsia"/>
                <w:spacing w:val="-17"/>
                <w:sz w:val="21"/>
                <w:szCs w:val="21"/>
                <w:vertAlign w:val="baseline"/>
                <w:lang w:val="en-US" w:eastAsia="zh-CN"/>
              </w:rPr>
            </w:pPr>
            <w:r>
              <w:rPr>
                <w:rFonts w:hint="default" w:ascii="Times New Roman" w:hAnsi="Times New Roman"/>
                <w:spacing w:val="-17"/>
                <w:sz w:val="21"/>
                <w:szCs w:val="21"/>
                <w:vertAlign w:val="baseline"/>
                <w:lang w:val="en-US" w:eastAsia="zh-CN"/>
              </w:rPr>
              <w:t>上市企业以企业或投资主体是否为以房地产为主业的上市公司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近三年</w:t>
            </w:r>
          </w:p>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开工面积</w:t>
            </w:r>
            <w:r>
              <w:rPr>
                <w:rFonts w:hint="default" w:ascii="Times New Roman" w:hAnsi="Times New Roman" w:eastAsia="宋体" w:cs="Times New Roman"/>
                <w:sz w:val="21"/>
                <w:szCs w:val="21"/>
                <w:vertAlign w:val="baseline"/>
              </w:rPr>
              <w:t>㎡</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按施工许可证为准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近三年</w:t>
            </w:r>
          </w:p>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竣工面积</w:t>
            </w:r>
            <w:r>
              <w:rPr>
                <w:rFonts w:hint="default" w:ascii="Times New Roman" w:hAnsi="Times New Roman" w:eastAsia="宋体" w:cs="Times New Roman"/>
                <w:sz w:val="21"/>
                <w:szCs w:val="21"/>
                <w:vertAlign w:val="baseline"/>
              </w:rPr>
              <w:t>㎡</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按期现备案（竣工备案表）为准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取得土地</w:t>
            </w:r>
          </w:p>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储备面积</w:t>
            </w:r>
            <w:r>
              <w:rPr>
                <w:rFonts w:hint="default" w:ascii="Times New Roman" w:hAnsi="Times New Roman" w:eastAsia="宋体" w:cs="Times New Roman"/>
                <w:sz w:val="21"/>
                <w:szCs w:val="21"/>
                <w:vertAlign w:val="baseline"/>
              </w:rPr>
              <w:t>㎡</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按土地出让合同为准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15" w:type="dxa"/>
            <w:vAlign w:val="center"/>
          </w:tcPr>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评价期内</w:t>
            </w:r>
          </w:p>
          <w:p>
            <w:pPr>
              <w:spacing w:after="0" w:line="500" w:lineRule="exact"/>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销售面积</w:t>
            </w:r>
            <w:r>
              <w:rPr>
                <w:rFonts w:hint="default" w:ascii="Times New Roman" w:hAnsi="Times New Roman" w:eastAsia="宋体" w:cs="Times New Roman"/>
                <w:sz w:val="21"/>
                <w:szCs w:val="21"/>
                <w:vertAlign w:val="baseline"/>
              </w:rPr>
              <w:t>㎡</w:t>
            </w:r>
          </w:p>
        </w:tc>
        <w:tc>
          <w:tcPr>
            <w:tcW w:w="1690" w:type="dxa"/>
            <w:gridSpan w:val="2"/>
            <w:vAlign w:val="center"/>
          </w:tcPr>
          <w:p>
            <w:pPr>
              <w:spacing w:after="0" w:line="500" w:lineRule="exact"/>
              <w:jc w:val="center"/>
              <w:rPr>
                <w:rFonts w:hint="default" w:ascii="Times New Roman" w:hAnsi="Times New Roman"/>
                <w:sz w:val="21"/>
                <w:szCs w:val="21"/>
                <w:vertAlign w:val="baseline"/>
                <w:lang w:val="en-US" w:eastAsia="zh-CN"/>
              </w:rPr>
            </w:pPr>
          </w:p>
        </w:tc>
        <w:tc>
          <w:tcPr>
            <w:tcW w:w="6075" w:type="dxa"/>
            <w:gridSpan w:val="9"/>
            <w:vAlign w:val="center"/>
          </w:tcPr>
          <w:p>
            <w:pPr>
              <w:spacing w:after="0" w:line="500" w:lineRule="exact"/>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按销售列表为准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9380" w:type="dxa"/>
            <w:gridSpan w:val="1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eastAsia="黑体" w:cs="Times New Roman"/>
                <w:b/>
                <w:bCs/>
                <w:sz w:val="24"/>
                <w:szCs w:val="24"/>
                <w:vertAlign w:val="baseline"/>
                <w:lang w:val="en-US" w:eastAsia="zh-CN"/>
              </w:rPr>
              <w:t>企业主要从业人员情况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eastAsiaTheme="minorEastAsia"/>
                <w:sz w:val="21"/>
                <w:szCs w:val="21"/>
                <w:vertAlign w:val="baseline"/>
                <w:lang w:val="en-US" w:eastAsia="zh-CN"/>
              </w:rPr>
            </w:pPr>
            <w:r>
              <w:rPr>
                <w:rFonts w:hint="default" w:ascii="Times New Roman" w:hAnsi="Times New Roman"/>
                <w:sz w:val="21"/>
                <w:szCs w:val="21"/>
                <w:vertAlign w:val="baseline"/>
                <w:lang w:val="en-US" w:eastAsia="zh-CN"/>
              </w:rPr>
              <w:t>名称</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姓名</w:t>
            </w: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职称</w:t>
            </w: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学历</w:t>
            </w: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社保情况</w:t>
            </w:r>
          </w:p>
        </w:tc>
        <w:tc>
          <w:tcPr>
            <w:tcW w:w="2655" w:type="dxa"/>
            <w:gridSpan w:val="3"/>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法人代表</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Align w:val="center"/>
          </w:tcPr>
          <w:p>
            <w:pPr>
              <w:spacing w:after="0" w:line="240" w:lineRule="auto"/>
              <w:jc w:val="both"/>
              <w:rPr>
                <w:rFonts w:hint="default" w:ascii="Times New Roman" w:hAnsi="Times New Roman"/>
                <w:sz w:val="21"/>
                <w:szCs w:val="21"/>
                <w:vertAlign w:val="baseline"/>
                <w:lang w:val="en-US" w:eastAsia="zh-CN"/>
              </w:rPr>
            </w:pPr>
            <w:r>
              <w:rPr>
                <w:rFonts w:hint="default" w:ascii="Times New Roman" w:hAnsi="Times New Roman" w:eastAsiaTheme="minorEastAsia"/>
                <w:spacing w:val="-17"/>
                <w:sz w:val="21"/>
                <w:szCs w:val="21"/>
                <w:vertAlign w:val="baseline"/>
                <w:lang w:val="en-US" w:eastAsia="zh-CN"/>
              </w:rPr>
              <w:t>法人代表应依据工商营业执照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企业负责人</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restart"/>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其它负责人应有</w:t>
            </w:r>
          </w:p>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任命或证明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工程负责人</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continue"/>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财务负责人</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continue"/>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前期负责人</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continue"/>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销售负责人</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continue"/>
            <w:vAlign w:val="center"/>
          </w:tcPr>
          <w:p>
            <w:pPr>
              <w:spacing w:after="0" w:line="240" w:lineRule="auto"/>
              <w:jc w:val="center"/>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Merge w:val="restart"/>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主要</w:t>
            </w:r>
          </w:p>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股东人员</w:t>
            </w:r>
          </w:p>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（30%以上</w:t>
            </w:r>
          </w:p>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股份股东）</w:t>
            </w:r>
          </w:p>
        </w:tc>
        <w:tc>
          <w:tcPr>
            <w:tcW w:w="1690"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1126" w:type="dxa"/>
            <w:gridSpan w:val="3"/>
            <w:vAlign w:val="center"/>
          </w:tcPr>
          <w:p>
            <w:pPr>
              <w:spacing w:after="0" w:line="240" w:lineRule="auto"/>
              <w:jc w:val="center"/>
              <w:rPr>
                <w:rFonts w:hint="default" w:ascii="Times New Roman" w:hAnsi="Times New Roman"/>
                <w:sz w:val="21"/>
                <w:szCs w:val="21"/>
                <w:vertAlign w:val="baseline"/>
                <w:lang w:val="en-US" w:eastAsia="zh-CN"/>
              </w:rPr>
            </w:pPr>
          </w:p>
        </w:tc>
        <w:tc>
          <w:tcPr>
            <w:tcW w:w="1079" w:type="dxa"/>
            <w:vAlign w:val="center"/>
          </w:tcPr>
          <w:p>
            <w:pPr>
              <w:spacing w:after="0" w:line="240" w:lineRule="auto"/>
              <w:jc w:val="center"/>
              <w:rPr>
                <w:rFonts w:hint="default" w:ascii="Times New Roman" w:hAnsi="Times New Roman"/>
                <w:sz w:val="21"/>
                <w:szCs w:val="21"/>
                <w:vertAlign w:val="baseline"/>
                <w:lang w:val="en-US" w:eastAsia="zh-CN"/>
              </w:rPr>
            </w:pPr>
          </w:p>
        </w:tc>
        <w:tc>
          <w:tcPr>
            <w:tcW w:w="1215" w:type="dxa"/>
            <w:gridSpan w:val="2"/>
            <w:vAlign w:val="center"/>
          </w:tcPr>
          <w:p>
            <w:pPr>
              <w:spacing w:after="0" w:line="240" w:lineRule="auto"/>
              <w:jc w:val="center"/>
              <w:rPr>
                <w:rFonts w:hint="default" w:ascii="Times New Roman" w:hAnsi="Times New Roman"/>
                <w:sz w:val="21"/>
                <w:szCs w:val="21"/>
                <w:vertAlign w:val="baseline"/>
                <w:lang w:val="en-US" w:eastAsia="zh-CN"/>
              </w:rPr>
            </w:pPr>
          </w:p>
        </w:tc>
        <w:tc>
          <w:tcPr>
            <w:tcW w:w="2655" w:type="dxa"/>
            <w:gridSpan w:val="3"/>
            <w:vMerge w:val="restart"/>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以在工商部门备案的</w:t>
            </w:r>
          </w:p>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企业章程记载为准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Merge w:val="continue"/>
          </w:tcPr>
          <w:p>
            <w:pPr>
              <w:spacing w:after="0" w:line="240" w:lineRule="auto"/>
              <w:rPr>
                <w:rFonts w:hint="default" w:ascii="Times New Roman" w:hAnsi="Times New Roman"/>
                <w:sz w:val="21"/>
                <w:szCs w:val="21"/>
                <w:vertAlign w:val="baseline"/>
                <w:lang w:val="en-US" w:eastAsia="zh-CN"/>
              </w:rPr>
            </w:pPr>
          </w:p>
        </w:tc>
        <w:tc>
          <w:tcPr>
            <w:tcW w:w="1690" w:type="dxa"/>
            <w:gridSpan w:val="2"/>
          </w:tcPr>
          <w:p>
            <w:pPr>
              <w:spacing w:after="0" w:line="240" w:lineRule="auto"/>
              <w:rPr>
                <w:rFonts w:hint="default" w:ascii="Times New Roman" w:hAnsi="Times New Roman"/>
                <w:sz w:val="21"/>
                <w:szCs w:val="21"/>
                <w:vertAlign w:val="baseline"/>
                <w:lang w:val="en-US" w:eastAsia="zh-CN"/>
              </w:rPr>
            </w:pPr>
          </w:p>
        </w:tc>
        <w:tc>
          <w:tcPr>
            <w:tcW w:w="1126" w:type="dxa"/>
            <w:gridSpan w:val="3"/>
          </w:tcPr>
          <w:p>
            <w:pPr>
              <w:spacing w:after="0" w:line="240" w:lineRule="auto"/>
              <w:rPr>
                <w:rFonts w:hint="default" w:ascii="Times New Roman" w:hAnsi="Times New Roman"/>
                <w:sz w:val="21"/>
                <w:szCs w:val="21"/>
                <w:vertAlign w:val="baseline"/>
                <w:lang w:val="en-US" w:eastAsia="zh-CN"/>
              </w:rPr>
            </w:pPr>
          </w:p>
        </w:tc>
        <w:tc>
          <w:tcPr>
            <w:tcW w:w="1079" w:type="dxa"/>
          </w:tcPr>
          <w:p>
            <w:pPr>
              <w:spacing w:after="0" w:line="240" w:lineRule="auto"/>
              <w:rPr>
                <w:rFonts w:hint="default" w:ascii="Times New Roman" w:hAnsi="Times New Roman"/>
                <w:sz w:val="21"/>
                <w:szCs w:val="21"/>
                <w:vertAlign w:val="baseline"/>
                <w:lang w:val="en-US" w:eastAsia="zh-CN"/>
              </w:rPr>
            </w:pPr>
          </w:p>
        </w:tc>
        <w:tc>
          <w:tcPr>
            <w:tcW w:w="1215" w:type="dxa"/>
            <w:gridSpan w:val="2"/>
          </w:tcPr>
          <w:p>
            <w:pPr>
              <w:spacing w:after="0" w:line="240" w:lineRule="auto"/>
              <w:rPr>
                <w:rFonts w:hint="default" w:ascii="Times New Roman" w:hAnsi="Times New Roman"/>
                <w:sz w:val="21"/>
                <w:szCs w:val="21"/>
                <w:vertAlign w:val="baseline"/>
                <w:lang w:val="en-US" w:eastAsia="zh-CN"/>
              </w:rPr>
            </w:pPr>
          </w:p>
        </w:tc>
        <w:tc>
          <w:tcPr>
            <w:tcW w:w="2655" w:type="dxa"/>
            <w:gridSpan w:val="3"/>
            <w:vMerge w:val="continue"/>
          </w:tcPr>
          <w:p>
            <w:pPr>
              <w:spacing w:after="0" w:line="240" w:lineRule="auto"/>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Merge w:val="continue"/>
          </w:tcPr>
          <w:p>
            <w:pPr>
              <w:spacing w:after="0" w:line="240" w:lineRule="auto"/>
              <w:rPr>
                <w:rFonts w:hint="default" w:ascii="Times New Roman" w:hAnsi="Times New Roman"/>
                <w:sz w:val="21"/>
                <w:szCs w:val="21"/>
                <w:vertAlign w:val="baseline"/>
                <w:lang w:val="en-US" w:eastAsia="zh-CN"/>
              </w:rPr>
            </w:pPr>
          </w:p>
        </w:tc>
        <w:tc>
          <w:tcPr>
            <w:tcW w:w="1690" w:type="dxa"/>
            <w:gridSpan w:val="2"/>
          </w:tcPr>
          <w:p>
            <w:pPr>
              <w:spacing w:after="0" w:line="240" w:lineRule="auto"/>
              <w:rPr>
                <w:rFonts w:hint="default" w:ascii="Times New Roman" w:hAnsi="Times New Roman"/>
                <w:sz w:val="21"/>
                <w:szCs w:val="21"/>
                <w:vertAlign w:val="baseline"/>
                <w:lang w:val="en-US" w:eastAsia="zh-CN"/>
              </w:rPr>
            </w:pPr>
          </w:p>
        </w:tc>
        <w:tc>
          <w:tcPr>
            <w:tcW w:w="1126" w:type="dxa"/>
            <w:gridSpan w:val="3"/>
          </w:tcPr>
          <w:p>
            <w:pPr>
              <w:spacing w:after="0" w:line="240" w:lineRule="auto"/>
              <w:rPr>
                <w:rFonts w:hint="default" w:ascii="Times New Roman" w:hAnsi="Times New Roman"/>
                <w:sz w:val="21"/>
                <w:szCs w:val="21"/>
                <w:vertAlign w:val="baseline"/>
                <w:lang w:val="en-US" w:eastAsia="zh-CN"/>
              </w:rPr>
            </w:pPr>
          </w:p>
        </w:tc>
        <w:tc>
          <w:tcPr>
            <w:tcW w:w="1079" w:type="dxa"/>
          </w:tcPr>
          <w:p>
            <w:pPr>
              <w:spacing w:after="0" w:line="240" w:lineRule="auto"/>
              <w:rPr>
                <w:rFonts w:hint="default" w:ascii="Times New Roman" w:hAnsi="Times New Roman"/>
                <w:sz w:val="21"/>
                <w:szCs w:val="21"/>
                <w:vertAlign w:val="baseline"/>
                <w:lang w:val="en-US" w:eastAsia="zh-CN"/>
              </w:rPr>
            </w:pPr>
          </w:p>
        </w:tc>
        <w:tc>
          <w:tcPr>
            <w:tcW w:w="1215" w:type="dxa"/>
            <w:gridSpan w:val="2"/>
          </w:tcPr>
          <w:p>
            <w:pPr>
              <w:spacing w:after="0" w:line="240" w:lineRule="auto"/>
              <w:rPr>
                <w:rFonts w:hint="default" w:ascii="Times New Roman" w:hAnsi="Times New Roman"/>
                <w:sz w:val="21"/>
                <w:szCs w:val="21"/>
                <w:vertAlign w:val="baseline"/>
                <w:lang w:val="en-US" w:eastAsia="zh-CN"/>
              </w:rPr>
            </w:pPr>
          </w:p>
        </w:tc>
        <w:tc>
          <w:tcPr>
            <w:tcW w:w="2655" w:type="dxa"/>
            <w:gridSpan w:val="3"/>
            <w:vMerge w:val="continue"/>
          </w:tcPr>
          <w:p>
            <w:pPr>
              <w:spacing w:after="0" w:line="240" w:lineRule="auto"/>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15" w:type="dxa"/>
            <w:vMerge w:val="continue"/>
          </w:tcPr>
          <w:p>
            <w:pPr>
              <w:spacing w:after="0" w:line="240" w:lineRule="auto"/>
              <w:rPr>
                <w:rFonts w:hint="default" w:ascii="Times New Roman" w:hAnsi="Times New Roman"/>
                <w:sz w:val="21"/>
                <w:szCs w:val="21"/>
                <w:vertAlign w:val="baseline"/>
                <w:lang w:val="en-US" w:eastAsia="zh-CN"/>
              </w:rPr>
            </w:pPr>
          </w:p>
        </w:tc>
        <w:tc>
          <w:tcPr>
            <w:tcW w:w="1690" w:type="dxa"/>
            <w:gridSpan w:val="2"/>
          </w:tcPr>
          <w:p>
            <w:pPr>
              <w:spacing w:after="0" w:line="240" w:lineRule="auto"/>
              <w:rPr>
                <w:rFonts w:hint="default" w:ascii="Times New Roman" w:hAnsi="Times New Roman"/>
                <w:sz w:val="21"/>
                <w:szCs w:val="21"/>
                <w:vertAlign w:val="baseline"/>
                <w:lang w:val="en-US" w:eastAsia="zh-CN"/>
              </w:rPr>
            </w:pPr>
          </w:p>
        </w:tc>
        <w:tc>
          <w:tcPr>
            <w:tcW w:w="1126" w:type="dxa"/>
            <w:gridSpan w:val="3"/>
          </w:tcPr>
          <w:p>
            <w:pPr>
              <w:spacing w:after="0" w:line="240" w:lineRule="auto"/>
              <w:rPr>
                <w:rFonts w:hint="default" w:ascii="Times New Roman" w:hAnsi="Times New Roman"/>
                <w:sz w:val="21"/>
                <w:szCs w:val="21"/>
                <w:vertAlign w:val="baseline"/>
                <w:lang w:val="en-US" w:eastAsia="zh-CN"/>
              </w:rPr>
            </w:pPr>
          </w:p>
        </w:tc>
        <w:tc>
          <w:tcPr>
            <w:tcW w:w="1079" w:type="dxa"/>
          </w:tcPr>
          <w:p>
            <w:pPr>
              <w:spacing w:after="0" w:line="240" w:lineRule="auto"/>
              <w:rPr>
                <w:rFonts w:hint="default" w:ascii="Times New Roman" w:hAnsi="Times New Roman"/>
                <w:sz w:val="21"/>
                <w:szCs w:val="21"/>
                <w:vertAlign w:val="baseline"/>
                <w:lang w:val="en-US" w:eastAsia="zh-CN"/>
              </w:rPr>
            </w:pPr>
          </w:p>
        </w:tc>
        <w:tc>
          <w:tcPr>
            <w:tcW w:w="1215" w:type="dxa"/>
            <w:gridSpan w:val="2"/>
          </w:tcPr>
          <w:p>
            <w:pPr>
              <w:spacing w:after="0" w:line="240" w:lineRule="auto"/>
              <w:rPr>
                <w:rFonts w:hint="default" w:ascii="Times New Roman" w:hAnsi="Times New Roman"/>
                <w:sz w:val="21"/>
                <w:szCs w:val="21"/>
                <w:vertAlign w:val="baseline"/>
                <w:lang w:val="en-US" w:eastAsia="zh-CN"/>
              </w:rPr>
            </w:pPr>
          </w:p>
        </w:tc>
        <w:tc>
          <w:tcPr>
            <w:tcW w:w="2655" w:type="dxa"/>
            <w:gridSpan w:val="3"/>
            <w:vMerge w:val="continue"/>
          </w:tcPr>
          <w:p>
            <w:pPr>
              <w:spacing w:after="0" w:line="240" w:lineRule="auto"/>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380" w:type="dxa"/>
            <w:gridSpan w:val="12"/>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ab/>
            </w:r>
            <w:r>
              <w:rPr>
                <w:rFonts w:hint="default" w:ascii="Times New Roman" w:hAnsi="Times New Roman" w:eastAsia="黑体" w:cs="Times New Roman"/>
                <w:b/>
                <w:bCs/>
                <w:sz w:val="24"/>
                <w:szCs w:val="24"/>
                <w:vertAlign w:val="baseline"/>
                <w:lang w:val="en-US" w:eastAsia="zh-CN"/>
              </w:rPr>
              <w:t>企业良好信用信息情况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6725" w:type="dxa"/>
            <w:gridSpan w:val="9"/>
            <w:vAlign w:val="center"/>
          </w:tcPr>
          <w:p>
            <w:pPr>
              <w:tabs>
                <w:tab w:val="left" w:pos="3403"/>
              </w:tabs>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良好信用信息</w:t>
            </w:r>
          </w:p>
        </w:tc>
        <w:tc>
          <w:tcPr>
            <w:tcW w:w="2655" w:type="dxa"/>
            <w:gridSpan w:val="3"/>
            <w:vAlign w:val="center"/>
          </w:tcPr>
          <w:p>
            <w:pPr>
              <w:tabs>
                <w:tab w:val="left" w:pos="3403"/>
              </w:tabs>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6725" w:type="dxa"/>
            <w:gridSpan w:val="9"/>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c>
          <w:tcPr>
            <w:tcW w:w="2655" w:type="dxa"/>
            <w:gridSpan w:val="3"/>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6725" w:type="dxa"/>
            <w:gridSpan w:val="9"/>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c>
          <w:tcPr>
            <w:tcW w:w="2655" w:type="dxa"/>
            <w:gridSpan w:val="3"/>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6725" w:type="dxa"/>
            <w:gridSpan w:val="9"/>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c>
          <w:tcPr>
            <w:tcW w:w="2655" w:type="dxa"/>
            <w:gridSpan w:val="3"/>
            <w:vAlign w:val="center"/>
          </w:tcPr>
          <w:p>
            <w:pPr>
              <w:tabs>
                <w:tab w:val="left" w:pos="3403"/>
              </w:tabs>
              <w:spacing w:after="0" w:line="240" w:lineRule="auto"/>
              <w:jc w:val="left"/>
              <w:rPr>
                <w:rFonts w:hint="default" w:ascii="Times New Roman" w:hAnsi="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380" w:type="dxa"/>
            <w:gridSpan w:val="12"/>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eastAsia="黑体" w:cs="Times New Roman"/>
                <w:b/>
                <w:bCs/>
                <w:sz w:val="24"/>
                <w:szCs w:val="24"/>
                <w:vertAlign w:val="baseline"/>
                <w:lang w:val="en-US" w:eastAsia="zh-CN"/>
              </w:rPr>
              <w:t>企业信息管理员情况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姓  名</w:t>
            </w:r>
          </w:p>
        </w:tc>
        <w:tc>
          <w:tcPr>
            <w:tcW w:w="3895" w:type="dxa"/>
            <w:gridSpan w:val="6"/>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联系电话</w:t>
            </w:r>
          </w:p>
        </w:tc>
        <w:tc>
          <w:tcPr>
            <w:tcW w:w="3870" w:type="dxa"/>
            <w:gridSpan w:val="5"/>
            <w:vAlign w:val="center"/>
          </w:tcPr>
          <w:p>
            <w:pPr>
              <w:spacing w:after="0" w:line="240" w:lineRule="auto"/>
              <w:jc w:val="center"/>
              <w:rPr>
                <w:rFonts w:hint="default" w:ascii="Times New Roman" w:hAnsi="Times New Roman"/>
                <w:sz w:val="21"/>
                <w:szCs w:val="21"/>
                <w:vertAlign w:val="baseline"/>
                <w:lang w:val="en-US" w:eastAsia="zh-CN"/>
              </w:rPr>
            </w:pPr>
            <w:r>
              <w:rPr>
                <w:rFonts w:hint="default" w:ascii="Times New Roman" w:hAnsi="Times New Roman"/>
                <w:sz w:val="21"/>
                <w:szCs w:val="21"/>
                <w:vertAlign w:val="baseline"/>
                <w:lang w:val="en-US" w:eastAsia="zh-CN"/>
              </w:rPr>
              <w:t>邮  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615" w:type="dxa"/>
            <w:vAlign w:val="center"/>
          </w:tcPr>
          <w:p>
            <w:pPr>
              <w:spacing w:after="0" w:line="240" w:lineRule="auto"/>
              <w:jc w:val="center"/>
              <w:rPr>
                <w:rFonts w:hint="default" w:ascii="Times New Roman" w:hAnsi="Times New Roman"/>
                <w:sz w:val="21"/>
                <w:szCs w:val="21"/>
                <w:vertAlign w:val="baseline"/>
                <w:lang w:val="en-US" w:eastAsia="zh-CN"/>
              </w:rPr>
            </w:pPr>
          </w:p>
        </w:tc>
        <w:tc>
          <w:tcPr>
            <w:tcW w:w="3895" w:type="dxa"/>
            <w:gridSpan w:val="6"/>
            <w:vAlign w:val="center"/>
          </w:tcPr>
          <w:p>
            <w:pPr>
              <w:spacing w:after="0" w:line="240" w:lineRule="auto"/>
              <w:jc w:val="center"/>
              <w:rPr>
                <w:rFonts w:hint="default" w:ascii="Times New Roman" w:hAnsi="Times New Roman"/>
                <w:sz w:val="21"/>
                <w:szCs w:val="21"/>
                <w:vertAlign w:val="baseline"/>
                <w:lang w:val="en-US" w:eastAsia="zh-CN"/>
              </w:rPr>
            </w:pPr>
          </w:p>
        </w:tc>
        <w:tc>
          <w:tcPr>
            <w:tcW w:w="3870" w:type="dxa"/>
            <w:gridSpan w:val="5"/>
            <w:vAlign w:val="center"/>
          </w:tcPr>
          <w:p>
            <w:pPr>
              <w:spacing w:after="0" w:line="240" w:lineRule="auto"/>
              <w:jc w:val="center"/>
              <w:rPr>
                <w:rFonts w:hint="default" w:ascii="Times New Roman" w:hAnsi="Times New Roman"/>
                <w:sz w:val="21"/>
                <w:szCs w:val="21"/>
                <w:vertAlign w:val="baseline"/>
                <w:lang w:val="en-US" w:eastAsia="zh-CN"/>
              </w:rPr>
            </w:pPr>
          </w:p>
        </w:tc>
      </w:tr>
    </w:tbl>
    <w:p>
      <w:pPr>
        <w:keepNext w:val="0"/>
        <w:keepLines w:val="0"/>
        <w:pageBreakBefore w:val="0"/>
        <w:widowControl w:val="0"/>
        <w:kinsoku/>
        <w:wordWrap/>
        <w:overflowPunct/>
        <w:topLinePunct w:val="0"/>
        <w:autoSpaceDE/>
        <w:autoSpaceDN/>
        <w:bidi w:val="0"/>
        <w:adjustRightInd w:val="0"/>
        <w:snapToGrid w:val="0"/>
        <w:spacing w:line="340" w:lineRule="exact"/>
        <w:ind w:left="0" w:leftChars="0" w:right="0" w:rightChars="0"/>
        <w:jc w:val="both"/>
        <w:textAlignment w:val="auto"/>
        <w:outlineLvl w:val="9"/>
        <w:rPr>
          <w:rFonts w:hint="default" w:ascii="Times New Roman" w:hAnsi="Times New Roman"/>
          <w:lang w:val="en-US" w:eastAsia="zh-CN"/>
        </w:rPr>
      </w:pPr>
    </w:p>
    <w:p>
      <w:pPr>
        <w:keepNext w:val="0"/>
        <w:keepLines w:val="0"/>
        <w:pageBreakBefore w:val="0"/>
        <w:widowControl w:val="0"/>
        <w:kinsoku/>
        <w:wordWrap/>
        <w:overflowPunct/>
        <w:topLinePunct w:val="0"/>
        <w:autoSpaceDE/>
        <w:autoSpaceDN/>
        <w:bidi w:val="0"/>
        <w:adjustRightInd w:val="0"/>
        <w:snapToGrid w:val="0"/>
        <w:spacing w:line="340"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注明：</w:t>
      </w:r>
    </w:p>
    <w:p>
      <w:pPr>
        <w:keepNext w:val="0"/>
        <w:keepLines w:val="0"/>
        <w:pageBreakBefore w:val="0"/>
        <w:widowControl w:val="0"/>
        <w:kinsoku/>
        <w:wordWrap/>
        <w:overflowPunct/>
        <w:topLinePunct w:val="0"/>
        <w:autoSpaceDE/>
        <w:autoSpaceDN/>
        <w:bidi w:val="0"/>
        <w:adjustRightInd w:val="0"/>
        <w:snapToGrid w:val="0"/>
        <w:spacing w:line="340" w:lineRule="exact"/>
        <w:ind w:left="0" w:leftChars="0" w:right="0" w:rightChars="0" w:firstLine="933" w:firstLineChars="3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1.企业客观信用能力情况自评分值按《办法》附表中《连云港市市区房地产开发企业信用信息考评表》填写分值，所涉及到的相关证明证书需提供复印件一份。</w:t>
      </w:r>
    </w:p>
    <w:p>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line="340" w:lineRule="exact"/>
        <w:textAlignment w:val="auto"/>
        <w:outlineLvl w:val="9"/>
        <w:rPr>
          <w:rFonts w:ascii="Times New Roman" w:hAnsi="Times New Roman"/>
          <w:szCs w:val="21"/>
        </w:rPr>
      </w:pPr>
      <w:r>
        <w:rPr>
          <w:rFonts w:hint="default" w:ascii="Times New Roman" w:hAnsi="Times New Roman" w:eastAsia="仿宋_GB2312" w:cs="Times New Roman"/>
          <w:sz w:val="32"/>
          <w:szCs w:val="32"/>
          <w:lang w:val="en-US" w:eastAsia="zh-CN"/>
        </w:rPr>
        <w:t xml:space="preserve">      2.各房地产开发企业应如实填写此表，不得虚报、瞒报，一经查实，将取消参评资格。</w:t>
      </w:r>
    </w:p>
    <w:sectPr>
      <w:headerReference r:id="rId3" w:type="default"/>
      <w:footerReference r:id="rId4" w:type="default"/>
      <w:footerReference r:id="rId5" w:type="even"/>
      <w:pgSz w:w="11906" w:h="16838"/>
      <w:pgMar w:top="2098" w:right="1474" w:bottom="1985" w:left="1588" w:header="851" w:footer="992" w:gutter="0"/>
      <w:pgBorders>
        <w:top w:val="none" w:sz="0" w:space="0"/>
        <w:left w:val="none" w:sz="0" w:space="0"/>
        <w:bottom w:val="none" w:sz="0" w:space="0"/>
        <w:right w:val="none" w:sz="0" w:space="0"/>
      </w:pgBorders>
      <w:pgNumType w:fmt="numberInDash"/>
      <w:cols w:space="720" w:num="1"/>
      <w:docGrid w:type="linesAndChars" w:linePitch="481"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wiss"/>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840"/>
      <w:rPr>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default" w:ascii="Times New Roman" w:hAnsi="Times New Roman" w:eastAsia="微软雅黑"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BjG8ccvQEAAGIDAAAOAAAAAAAAAAEAIAAAAB4BAABkcnMvZTJvRG9jLnhtbFBLBQYAAAAA&#10;BgAGAFkBAABNBQAAAAA=&#10;">
              <v:fill on="f" focussize="0,0"/>
              <v:stroke on="f"/>
              <v:imagedata o:title=""/>
              <o:lock v:ext="edit" aspectratio="f"/>
              <v:textbox inset="0mm,0mm,0mm,0mm" style="mso-fit-shape-to-text:t;">
                <w:txbxContent>
                  <w:p>
                    <w:pPr>
                      <w:pStyle w:val="3"/>
                      <w:rPr>
                        <w:rFonts w:hint="default" w:ascii="Times New Roman" w:hAnsi="Times New Roman" w:eastAsia="微软雅黑"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default" w:ascii="Times New Roman" w:hAnsi="Times New Roman" w:eastAsia="微软雅黑"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- 2 -</w:t>
                          </w:r>
                          <w:r>
                            <w:rPr>
                              <w:rFonts w:hint="default" w:ascii="Times New Roman" w:hAnsi="Times New Roman" w:cs="Times New Roman"/>
                              <w:sz w:val="28"/>
                              <w:szCs w:val="28"/>
                              <w:lang w:eastAsia="zh-CN"/>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B/+sf/vQEAAGIDAAAOAAAAAAAAAAEAIAAAAB4BAABkcnMvZTJvRG9jLnhtbFBLBQYAAAAA&#10;BgAGAFkBAABNBQAAAAA=&#10;">
              <v:fill on="f" focussize="0,0"/>
              <v:stroke on="f"/>
              <v:imagedata o:title=""/>
              <o:lock v:ext="edit" aspectratio="f"/>
              <v:textbox inset="0mm,0mm,0mm,0mm" style="mso-fit-shape-to-text:t;">
                <w:txbxContent>
                  <w:p>
                    <w:pPr>
                      <w:pStyle w:val="3"/>
                      <w:rPr>
                        <w:rFonts w:hint="default" w:ascii="Times New Roman" w:hAnsi="Times New Roman" w:eastAsia="微软雅黑"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- 2 -</w:t>
                    </w:r>
                    <w:r>
                      <w:rPr>
                        <w:rFonts w:hint="default" w:ascii="Times New Roman" w:hAnsi="Times New Roman" w:cs="Times New Roman"/>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HorizontalSpacing w:val="201"/>
  <w:drawingGridVerticalSpacing w:val="481"/>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195"/>
    <w:rsid w:val="0000605A"/>
    <w:rsid w:val="00011173"/>
    <w:rsid w:val="00013CA3"/>
    <w:rsid w:val="00016461"/>
    <w:rsid w:val="000312D8"/>
    <w:rsid w:val="00072450"/>
    <w:rsid w:val="00073A33"/>
    <w:rsid w:val="00074698"/>
    <w:rsid w:val="00074A50"/>
    <w:rsid w:val="00080486"/>
    <w:rsid w:val="000853BC"/>
    <w:rsid w:val="000A0AE1"/>
    <w:rsid w:val="000A60AA"/>
    <w:rsid w:val="000B3DE1"/>
    <w:rsid w:val="000C5AEA"/>
    <w:rsid w:val="000D2173"/>
    <w:rsid w:val="000D5797"/>
    <w:rsid w:val="001072CD"/>
    <w:rsid w:val="00107D6E"/>
    <w:rsid w:val="00142D14"/>
    <w:rsid w:val="00145712"/>
    <w:rsid w:val="00146E58"/>
    <w:rsid w:val="00165C71"/>
    <w:rsid w:val="001B1A6D"/>
    <w:rsid w:val="001B4897"/>
    <w:rsid w:val="001B5DA3"/>
    <w:rsid w:val="001C19EA"/>
    <w:rsid w:val="001D14E7"/>
    <w:rsid w:val="001D60BA"/>
    <w:rsid w:val="001E13F8"/>
    <w:rsid w:val="001E2498"/>
    <w:rsid w:val="00200A7C"/>
    <w:rsid w:val="00200C11"/>
    <w:rsid w:val="00224BD0"/>
    <w:rsid w:val="00236ED8"/>
    <w:rsid w:val="0025441D"/>
    <w:rsid w:val="00257D0A"/>
    <w:rsid w:val="00263C85"/>
    <w:rsid w:val="002641F8"/>
    <w:rsid w:val="002875FA"/>
    <w:rsid w:val="00291195"/>
    <w:rsid w:val="002A6DDE"/>
    <w:rsid w:val="002B0217"/>
    <w:rsid w:val="002B3237"/>
    <w:rsid w:val="002C09F4"/>
    <w:rsid w:val="002C7B5C"/>
    <w:rsid w:val="00312EB5"/>
    <w:rsid w:val="0034580A"/>
    <w:rsid w:val="0034660A"/>
    <w:rsid w:val="003475D5"/>
    <w:rsid w:val="00355FC6"/>
    <w:rsid w:val="0035637F"/>
    <w:rsid w:val="0037083C"/>
    <w:rsid w:val="003A6186"/>
    <w:rsid w:val="003D6FDF"/>
    <w:rsid w:val="0040228A"/>
    <w:rsid w:val="00433220"/>
    <w:rsid w:val="0044383F"/>
    <w:rsid w:val="00443FAD"/>
    <w:rsid w:val="004636AC"/>
    <w:rsid w:val="00476047"/>
    <w:rsid w:val="00490C67"/>
    <w:rsid w:val="004C4BA7"/>
    <w:rsid w:val="004E7AA6"/>
    <w:rsid w:val="004F122F"/>
    <w:rsid w:val="004F4D68"/>
    <w:rsid w:val="0050785E"/>
    <w:rsid w:val="005103D7"/>
    <w:rsid w:val="00515847"/>
    <w:rsid w:val="00520560"/>
    <w:rsid w:val="005261F1"/>
    <w:rsid w:val="005349DF"/>
    <w:rsid w:val="00544F72"/>
    <w:rsid w:val="00550567"/>
    <w:rsid w:val="00577796"/>
    <w:rsid w:val="00581114"/>
    <w:rsid w:val="0058314D"/>
    <w:rsid w:val="0058465D"/>
    <w:rsid w:val="00586BD8"/>
    <w:rsid w:val="005900F7"/>
    <w:rsid w:val="005A1F6E"/>
    <w:rsid w:val="005B7DB5"/>
    <w:rsid w:val="005C58FB"/>
    <w:rsid w:val="005D51C2"/>
    <w:rsid w:val="005F7E37"/>
    <w:rsid w:val="0061567B"/>
    <w:rsid w:val="00631274"/>
    <w:rsid w:val="00641602"/>
    <w:rsid w:val="00642810"/>
    <w:rsid w:val="006654FE"/>
    <w:rsid w:val="006711A0"/>
    <w:rsid w:val="00677DC0"/>
    <w:rsid w:val="0068621D"/>
    <w:rsid w:val="006A4A9E"/>
    <w:rsid w:val="006A4B50"/>
    <w:rsid w:val="006A5E59"/>
    <w:rsid w:val="006B4A00"/>
    <w:rsid w:val="006D2E86"/>
    <w:rsid w:val="006D5E4A"/>
    <w:rsid w:val="006E3400"/>
    <w:rsid w:val="006E636D"/>
    <w:rsid w:val="006F38B1"/>
    <w:rsid w:val="0072313F"/>
    <w:rsid w:val="00743E62"/>
    <w:rsid w:val="00744C4A"/>
    <w:rsid w:val="0074729F"/>
    <w:rsid w:val="00754BBD"/>
    <w:rsid w:val="00767FA1"/>
    <w:rsid w:val="00782F05"/>
    <w:rsid w:val="00791F54"/>
    <w:rsid w:val="00797C21"/>
    <w:rsid w:val="007B4F5A"/>
    <w:rsid w:val="007C50E9"/>
    <w:rsid w:val="007D6735"/>
    <w:rsid w:val="007E6B68"/>
    <w:rsid w:val="00800993"/>
    <w:rsid w:val="0080211E"/>
    <w:rsid w:val="00811513"/>
    <w:rsid w:val="00830101"/>
    <w:rsid w:val="00836C33"/>
    <w:rsid w:val="00861597"/>
    <w:rsid w:val="008623E2"/>
    <w:rsid w:val="00884B2D"/>
    <w:rsid w:val="008858E7"/>
    <w:rsid w:val="008901FB"/>
    <w:rsid w:val="008A6A09"/>
    <w:rsid w:val="008A7876"/>
    <w:rsid w:val="008D3D99"/>
    <w:rsid w:val="008D5871"/>
    <w:rsid w:val="008F11AC"/>
    <w:rsid w:val="0091089A"/>
    <w:rsid w:val="00912F51"/>
    <w:rsid w:val="009156C8"/>
    <w:rsid w:val="00924747"/>
    <w:rsid w:val="00944CEC"/>
    <w:rsid w:val="009450A7"/>
    <w:rsid w:val="009477D3"/>
    <w:rsid w:val="00950040"/>
    <w:rsid w:val="00950883"/>
    <w:rsid w:val="00954D08"/>
    <w:rsid w:val="0096349F"/>
    <w:rsid w:val="00975402"/>
    <w:rsid w:val="00985843"/>
    <w:rsid w:val="009900CF"/>
    <w:rsid w:val="00991D51"/>
    <w:rsid w:val="009A5DD2"/>
    <w:rsid w:val="009B5357"/>
    <w:rsid w:val="009C2F26"/>
    <w:rsid w:val="009D3615"/>
    <w:rsid w:val="009D5B34"/>
    <w:rsid w:val="009E7B6D"/>
    <w:rsid w:val="009F755D"/>
    <w:rsid w:val="00A12007"/>
    <w:rsid w:val="00A14B3C"/>
    <w:rsid w:val="00A21CB5"/>
    <w:rsid w:val="00A24EB4"/>
    <w:rsid w:val="00A333D0"/>
    <w:rsid w:val="00A4533F"/>
    <w:rsid w:val="00AA154F"/>
    <w:rsid w:val="00AC109D"/>
    <w:rsid w:val="00AC39CA"/>
    <w:rsid w:val="00AD178E"/>
    <w:rsid w:val="00AD63F2"/>
    <w:rsid w:val="00AE17AE"/>
    <w:rsid w:val="00AF1F84"/>
    <w:rsid w:val="00AF4FB6"/>
    <w:rsid w:val="00B0717B"/>
    <w:rsid w:val="00B11463"/>
    <w:rsid w:val="00B22480"/>
    <w:rsid w:val="00B32FA7"/>
    <w:rsid w:val="00B521F6"/>
    <w:rsid w:val="00B55BEB"/>
    <w:rsid w:val="00B81E20"/>
    <w:rsid w:val="00B92761"/>
    <w:rsid w:val="00BB7783"/>
    <w:rsid w:val="00BC7EFB"/>
    <w:rsid w:val="00BE058A"/>
    <w:rsid w:val="00BF78F5"/>
    <w:rsid w:val="00C16702"/>
    <w:rsid w:val="00C22E38"/>
    <w:rsid w:val="00C31C9B"/>
    <w:rsid w:val="00C34013"/>
    <w:rsid w:val="00C51465"/>
    <w:rsid w:val="00C841EF"/>
    <w:rsid w:val="00C85530"/>
    <w:rsid w:val="00C8568B"/>
    <w:rsid w:val="00C91BEE"/>
    <w:rsid w:val="00C92CCD"/>
    <w:rsid w:val="00C93AC4"/>
    <w:rsid w:val="00CA7F51"/>
    <w:rsid w:val="00CB0E81"/>
    <w:rsid w:val="00CB5A9E"/>
    <w:rsid w:val="00CC0C12"/>
    <w:rsid w:val="00CF346B"/>
    <w:rsid w:val="00D21294"/>
    <w:rsid w:val="00D21B76"/>
    <w:rsid w:val="00D3276F"/>
    <w:rsid w:val="00D417CF"/>
    <w:rsid w:val="00D612D0"/>
    <w:rsid w:val="00D72911"/>
    <w:rsid w:val="00D951AB"/>
    <w:rsid w:val="00DB7FCC"/>
    <w:rsid w:val="00DC156C"/>
    <w:rsid w:val="00DD5015"/>
    <w:rsid w:val="00E0333A"/>
    <w:rsid w:val="00E16507"/>
    <w:rsid w:val="00E333B2"/>
    <w:rsid w:val="00E47AF2"/>
    <w:rsid w:val="00E51949"/>
    <w:rsid w:val="00E5619F"/>
    <w:rsid w:val="00E5791C"/>
    <w:rsid w:val="00E61E03"/>
    <w:rsid w:val="00E642B4"/>
    <w:rsid w:val="00EA5205"/>
    <w:rsid w:val="00EC3FD3"/>
    <w:rsid w:val="00ED622C"/>
    <w:rsid w:val="00EE0E2C"/>
    <w:rsid w:val="00EE1969"/>
    <w:rsid w:val="00EF6CDF"/>
    <w:rsid w:val="00F10243"/>
    <w:rsid w:val="00F111FA"/>
    <w:rsid w:val="00F25331"/>
    <w:rsid w:val="00F32489"/>
    <w:rsid w:val="00F55D43"/>
    <w:rsid w:val="00F63DC0"/>
    <w:rsid w:val="00F65FF8"/>
    <w:rsid w:val="00F729EC"/>
    <w:rsid w:val="00F85144"/>
    <w:rsid w:val="00FA3444"/>
    <w:rsid w:val="00FB6E37"/>
    <w:rsid w:val="00FC0999"/>
    <w:rsid w:val="00FC57C1"/>
    <w:rsid w:val="00FD4164"/>
    <w:rsid w:val="00FF5FC9"/>
    <w:rsid w:val="1C8D4426"/>
    <w:rsid w:val="1F3A7B4B"/>
    <w:rsid w:val="23F30A91"/>
    <w:rsid w:val="25102021"/>
    <w:rsid w:val="2AEE3492"/>
    <w:rsid w:val="2DA02EE8"/>
    <w:rsid w:val="37DD6C7B"/>
    <w:rsid w:val="38D5730E"/>
    <w:rsid w:val="416151E8"/>
    <w:rsid w:val="45D25817"/>
    <w:rsid w:val="4AB91A4E"/>
    <w:rsid w:val="4BB73C10"/>
    <w:rsid w:val="544B6F9E"/>
    <w:rsid w:val="554D689A"/>
    <w:rsid w:val="5D964B36"/>
    <w:rsid w:val="5E4B16D0"/>
    <w:rsid w:val="5EC24654"/>
    <w:rsid w:val="626672D2"/>
    <w:rsid w:val="64B940F2"/>
    <w:rsid w:val="70CD5179"/>
    <w:rsid w:val="7285772D"/>
    <w:rsid w:val="775E5B74"/>
    <w:rsid w:val="77C02A00"/>
    <w:rsid w:val="7B1B39CF"/>
    <w:rsid w:val="7E3930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ind w:firstLine="720" w:firstLineChars="200"/>
    </w:pPr>
    <w:rPr>
      <w:rFonts w:ascii="黑体" w:eastAsia="黑体"/>
      <w:sz w:val="36"/>
      <w:szCs w:val="32"/>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kern w:val="0"/>
      <w:sz w:val="24"/>
    </w:rPr>
  </w:style>
  <w:style w:type="table" w:styleId="7">
    <w:name w:val="Table Grid"/>
    <w:basedOn w:val="6"/>
    <w:qFormat/>
    <w:uiPriority w:val="0"/>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Default"/>
    <w:qFormat/>
    <w:uiPriority w:val="0"/>
    <w:pPr>
      <w:widowControl w:val="0"/>
      <w:autoSpaceDE w:val="0"/>
      <w:autoSpaceDN w:val="0"/>
      <w:adjustRightInd w:val="0"/>
      <w:spacing w:after="0" w:line="240" w:lineRule="auto"/>
    </w:pPr>
    <w:rPr>
      <w:rFonts w:ascii="方正小标宋_GBK" w:hAnsi="方正小标宋_GBK" w:eastAsia="微软雅黑" w:cs="方正小标宋_GBK"/>
      <w:color w:val="000000"/>
      <w:sz w:val="24"/>
      <w:szCs w:val="24"/>
      <w:lang w:val="en-US" w:eastAsia="zh-CN" w:bidi="ar-SA"/>
    </w:rPr>
  </w:style>
  <w:style w:type="character" w:customStyle="1" w:styleId="10">
    <w:name w:val="页眉 Char"/>
    <w:link w:val="4"/>
    <w:qFormat/>
    <w:uiPriority w:val="0"/>
    <w:rPr>
      <w:kern w:val="2"/>
      <w:sz w:val="18"/>
      <w:szCs w:val="18"/>
    </w:rPr>
  </w:style>
  <w:style w:type="character" w:customStyle="1" w:styleId="11">
    <w:name w:val="页脚 Char"/>
    <w:link w:val="3"/>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0</Words>
  <Characters>0</Characters>
  <Lines>0</Lines>
  <Paragraphs>0</Paragraphs>
  <TotalTime>7</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2020-03-30T02:43:00Z</dcterms:created>
  <dc:creator>重温旧梦、</dc:creator>
  <cp:lastModifiedBy>肖冰</cp:lastModifiedBy>
  <cp:lastPrinted>2020-04-02T09:54:09Z</cp:lastPrinted>
  <dcterms:modified xsi:type="dcterms:W3CDTF">2020-04-02T09:55:21Z</dcterms:modified>
  <dc:title>徐州市财政局文件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